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4EAA" w14:textId="7C1D50B5" w:rsidR="00545E6C" w:rsidRDefault="00EC0A52" w:rsidP="00EC0A52">
      <w:pPr>
        <w:pStyle w:val="Heading1"/>
        <w:rPr>
          <w:i/>
          <w:iCs/>
        </w:rPr>
      </w:pPr>
      <w:r w:rsidRPr="00EC0A52">
        <w:rPr>
          <w:b/>
          <w:bCs/>
        </w:rPr>
        <w:t>Consolidating Future Farming Grants:</w:t>
      </w:r>
      <w:r w:rsidRPr="00EC0A52">
        <w:t xml:space="preserve"> </w:t>
      </w:r>
      <w:r w:rsidRPr="00EC0A52">
        <w:rPr>
          <w:i/>
          <w:iCs/>
        </w:rPr>
        <w:t>Should we deliver AH&amp;W grants through the Farming Investment Fund?</w:t>
      </w:r>
    </w:p>
    <w:p w14:paraId="0BAE2924" w14:textId="226CA714" w:rsidR="00EC0A52" w:rsidRPr="00EC0A52" w:rsidRDefault="00EC0A52" w:rsidP="00EC0A52">
      <w:pPr>
        <w:pStyle w:val="Subtitle"/>
      </w:pPr>
      <w:r>
        <w:t xml:space="preserve">Options Paper for discussion at Grants &amp; </w:t>
      </w:r>
      <w:proofErr w:type="spellStart"/>
      <w:r>
        <w:t>PbR</w:t>
      </w:r>
      <w:proofErr w:type="spellEnd"/>
      <w:r>
        <w:t xml:space="preserve"> Sub-Group on 15</w:t>
      </w:r>
      <w:r w:rsidRPr="00EC0A52">
        <w:rPr>
          <w:vertAlign w:val="superscript"/>
        </w:rPr>
        <w:t>th</w:t>
      </w:r>
      <w:r>
        <w:t xml:space="preserve"> December 2021</w:t>
      </w:r>
    </w:p>
    <w:p w14:paraId="2052809D" w14:textId="5CE152EE" w:rsidR="00EC0A52" w:rsidRDefault="00EC0A52" w:rsidP="00AF36C7">
      <w:pPr>
        <w:pStyle w:val="Heading2"/>
        <w:numPr>
          <w:ilvl w:val="0"/>
          <w:numId w:val="22"/>
        </w:numPr>
      </w:pPr>
      <w:r>
        <w:t>Purpose</w:t>
      </w:r>
    </w:p>
    <w:p w14:paraId="61D018E2" w14:textId="73D34DC4" w:rsidR="00266690" w:rsidRDefault="00EC0A52" w:rsidP="00EC0A52">
      <w:r w:rsidRPr="00EC0A52">
        <w:t xml:space="preserve">We have been working with policy colleagues focused on environmental and productivity grants to consider </w:t>
      </w:r>
      <w:r w:rsidRPr="00EC0A52">
        <w:rPr>
          <w:b/>
          <w:bCs/>
        </w:rPr>
        <w:t>whether it would be better to have</w:t>
      </w:r>
      <w:r w:rsidR="004366F3">
        <w:rPr>
          <w:b/>
          <w:bCs/>
        </w:rPr>
        <w:t xml:space="preserve"> an</w:t>
      </w:r>
      <w:r w:rsidRPr="00EC0A52">
        <w:rPr>
          <w:b/>
          <w:bCs/>
        </w:rPr>
        <w:t xml:space="preserve"> integrated grants scheme for farmers to achieve AHW, environmental and productivity benefits – rather than separate schemes</w:t>
      </w:r>
      <w:r w:rsidRPr="00EC0A52">
        <w:t>.</w:t>
      </w:r>
      <w:r w:rsidR="00266690">
        <w:t xml:space="preserve"> </w:t>
      </w:r>
      <w:r w:rsidR="004366F3">
        <w:t xml:space="preserve">At the last Grants &amp; </w:t>
      </w:r>
      <w:proofErr w:type="spellStart"/>
      <w:r w:rsidR="004366F3">
        <w:t>PbR</w:t>
      </w:r>
      <w:proofErr w:type="spellEnd"/>
      <w:r w:rsidR="004366F3">
        <w:t xml:space="preserve"> Sub-Group (1</w:t>
      </w:r>
      <w:r w:rsidR="004366F3" w:rsidRPr="004366F3">
        <w:rPr>
          <w:vertAlign w:val="superscript"/>
        </w:rPr>
        <w:t>st</w:t>
      </w:r>
      <w:r w:rsidR="004366F3">
        <w:t xml:space="preserve"> December 2021</w:t>
      </w:r>
      <w:r w:rsidR="00A70A37">
        <w:t xml:space="preserve"> - </w:t>
      </w:r>
      <w:hyperlink r:id="rId11" w:history="1">
        <w:r w:rsidR="00A70A37" w:rsidRPr="00A70A37">
          <w:rPr>
            <w:rStyle w:val="Hyperlink"/>
          </w:rPr>
          <w:t>slides</w:t>
        </w:r>
      </w:hyperlink>
      <w:r w:rsidR="004366F3">
        <w:t xml:space="preserve">) we </w:t>
      </w:r>
      <w:r w:rsidR="00266690">
        <w:t>put forward the following two options:</w:t>
      </w:r>
    </w:p>
    <w:p w14:paraId="16E9041D" w14:textId="77777777" w:rsidR="00266690" w:rsidRDefault="00266690" w:rsidP="00266690">
      <w:r w:rsidRPr="001C3F30">
        <w:rPr>
          <w:b/>
          <w:bCs/>
        </w:rPr>
        <w:t>Option A</w:t>
      </w:r>
      <w:r>
        <w:rPr>
          <w:b/>
          <w:bCs/>
        </w:rPr>
        <w:t xml:space="preserve"> - </w:t>
      </w:r>
      <w:r w:rsidRPr="007C5B84">
        <w:rPr>
          <w:b/>
          <w:bCs/>
          <w:u w:val="single"/>
        </w:rPr>
        <w:t>Standalone</w:t>
      </w:r>
      <w:r>
        <w:t xml:space="preserve"> AHW Grants:</w:t>
      </w:r>
    </w:p>
    <w:p w14:paraId="044F961E" w14:textId="6C525745" w:rsidR="00266690" w:rsidRDefault="00266690" w:rsidP="00266690">
      <w:pPr>
        <w:pStyle w:val="ListParagraph"/>
        <w:numPr>
          <w:ilvl w:val="0"/>
          <w:numId w:val="10"/>
        </w:numPr>
      </w:pPr>
      <w:r w:rsidRPr="00083B49">
        <w:rPr>
          <w:b/>
          <w:bCs/>
        </w:rPr>
        <w:t>AHW small grants:</w:t>
      </w:r>
      <w:r>
        <w:t xml:space="preserve"> a </w:t>
      </w:r>
      <w:r w:rsidRPr="00510555">
        <w:rPr>
          <w:b/>
          <w:bCs/>
        </w:rPr>
        <w:t xml:space="preserve">standalone list of items focused on </w:t>
      </w:r>
      <w:r>
        <w:rPr>
          <w:b/>
          <w:bCs/>
        </w:rPr>
        <w:t>AHW, delivering the sector priorities</w:t>
      </w:r>
      <w:r>
        <w:t xml:space="preserve">. This would be separate </w:t>
      </w:r>
      <w:r w:rsidRPr="00510555">
        <w:t xml:space="preserve">to FETF which has another list of items focused </w:t>
      </w:r>
      <w:r w:rsidR="00AF36C7">
        <w:t xml:space="preserve">primarily </w:t>
      </w:r>
      <w:r w:rsidRPr="00510555">
        <w:t>on productivity</w:t>
      </w:r>
      <w:r>
        <w:t>.</w:t>
      </w:r>
    </w:p>
    <w:p w14:paraId="7C3EBE9B" w14:textId="5B5F0755" w:rsidR="00266690" w:rsidRPr="00266690" w:rsidRDefault="00266690" w:rsidP="00266690">
      <w:pPr>
        <w:pStyle w:val="ListParagraph"/>
        <w:numPr>
          <w:ilvl w:val="0"/>
          <w:numId w:val="10"/>
        </w:numPr>
        <w:rPr>
          <w:b/>
          <w:bCs/>
        </w:rPr>
      </w:pPr>
      <w:r w:rsidRPr="00083B49">
        <w:rPr>
          <w:b/>
          <w:bCs/>
        </w:rPr>
        <w:t>AHW large grants:</w:t>
      </w:r>
      <w:r>
        <w:t xml:space="preserve"> a standalone scheme </w:t>
      </w:r>
      <w:r w:rsidR="00AF36C7">
        <w:t>for</w:t>
      </w:r>
      <w:r>
        <w:t xml:space="preserve"> bespoke infrastructure investments that deliver the AHW sector priorities</w:t>
      </w:r>
      <w:r w:rsidRPr="00242D27">
        <w:t>.</w:t>
      </w:r>
      <w:r>
        <w:t xml:space="preserve"> This w</w:t>
      </w:r>
      <w:r w:rsidR="00AF36C7">
        <w:t>ould</w:t>
      </w:r>
      <w:r>
        <w:t xml:space="preserve"> likely be divided into separate ‘themes’ by sector, by investment type or by priority</w:t>
      </w:r>
      <w:r w:rsidR="00AF36C7">
        <w:t xml:space="preserve">, </w:t>
      </w:r>
      <w:proofErr w:type="spellStart"/>
      <w:r w:rsidR="00AF36C7">
        <w:t>eg</w:t>
      </w:r>
      <w:proofErr w:type="spellEnd"/>
      <w:r w:rsidR="00AF36C7">
        <w:t>: ‘upgrading cattle housing for AHW’</w:t>
      </w:r>
      <w:r>
        <w:t>.</w:t>
      </w:r>
      <w:r w:rsidR="00AF36C7">
        <w:t xml:space="preserve"> This would be separate to FTF which has themes, such as ‘Improving Productivity’, could be used to fund robotic milking.</w:t>
      </w:r>
    </w:p>
    <w:p w14:paraId="0E234BFA" w14:textId="77777777" w:rsidR="00266690" w:rsidRPr="00242D27" w:rsidRDefault="00266690" w:rsidP="00266690">
      <w:pPr>
        <w:pStyle w:val="ListParagraph"/>
        <w:rPr>
          <w:b/>
          <w:bCs/>
        </w:rPr>
      </w:pPr>
    </w:p>
    <w:p w14:paraId="7B267F79" w14:textId="77777777" w:rsidR="00266690" w:rsidRDefault="00266690" w:rsidP="00266690">
      <w:pPr>
        <w:rPr>
          <w:rFonts w:cs="Arial"/>
          <w:b/>
          <w:bCs/>
          <w:color w:val="000000"/>
          <w:shd w:val="clear" w:color="auto" w:fill="FFFFFF"/>
        </w:rPr>
      </w:pPr>
      <w:r w:rsidRPr="00083B49">
        <w:rPr>
          <w:rStyle w:val="normaltextrun"/>
          <w:rFonts w:cs="Arial"/>
          <w:b/>
          <w:bCs/>
          <w:color w:val="000000"/>
          <w:shd w:val="clear" w:color="auto" w:fill="FFFFFF"/>
        </w:rPr>
        <w:t xml:space="preserve">Option B: </w:t>
      </w:r>
      <w:r w:rsidRPr="00083B49">
        <w:rPr>
          <w:rFonts w:cs="Arial"/>
          <w:b/>
          <w:bCs/>
          <w:color w:val="000000"/>
          <w:shd w:val="clear" w:color="auto" w:fill="FFFFFF"/>
        </w:rPr>
        <w:t xml:space="preserve">AHW </w:t>
      </w:r>
      <w:r w:rsidRPr="00083B49">
        <w:rPr>
          <w:rFonts w:cs="Arial"/>
          <w:b/>
          <w:bCs/>
          <w:color w:val="000000"/>
          <w:u w:val="single"/>
          <w:shd w:val="clear" w:color="auto" w:fill="FFFFFF"/>
        </w:rPr>
        <w:t>integrated</w:t>
      </w:r>
      <w:r w:rsidRPr="00083B49">
        <w:rPr>
          <w:rFonts w:cs="Arial"/>
          <w:b/>
          <w:bCs/>
          <w:color w:val="000000"/>
          <w:shd w:val="clear" w:color="auto" w:fill="FFFFFF"/>
        </w:rPr>
        <w:t xml:space="preserve"> with other FF grants as part of </w:t>
      </w:r>
      <w:r>
        <w:rPr>
          <w:rFonts w:cs="Arial"/>
          <w:b/>
          <w:bCs/>
          <w:color w:val="000000"/>
          <w:shd w:val="clear" w:color="auto" w:fill="FFFFFF"/>
        </w:rPr>
        <w:t xml:space="preserve">the </w:t>
      </w:r>
      <w:r w:rsidRPr="00083B49">
        <w:rPr>
          <w:rFonts w:cs="Arial"/>
          <w:b/>
          <w:bCs/>
          <w:color w:val="000000"/>
          <w:shd w:val="clear" w:color="auto" w:fill="FFFFFF"/>
        </w:rPr>
        <w:t xml:space="preserve">Farming Investment Fund: </w:t>
      </w:r>
    </w:p>
    <w:p w14:paraId="0EF53401" w14:textId="13F06FE4" w:rsidR="00266690" w:rsidRPr="00EC0A52" w:rsidRDefault="00266690" w:rsidP="00266690">
      <w:pPr>
        <w:pStyle w:val="ListParagraph"/>
        <w:numPr>
          <w:ilvl w:val="0"/>
          <w:numId w:val="10"/>
        </w:numPr>
      </w:pPr>
      <w:r w:rsidRPr="00EC0A52">
        <w:rPr>
          <w:b/>
          <w:bCs/>
        </w:rPr>
        <w:t>Farm Equipment and Technology Fund - FETF (small):</w:t>
      </w:r>
      <w:r w:rsidRPr="00EC0A52">
        <w:t xml:space="preserve"> </w:t>
      </w:r>
      <w:r w:rsidRPr="00266690">
        <w:t xml:space="preserve">a </w:t>
      </w:r>
      <w:r w:rsidRPr="00266690">
        <w:rPr>
          <w:b/>
          <w:bCs/>
          <w:u w:val="single"/>
        </w:rPr>
        <w:t xml:space="preserve">single </w:t>
      </w:r>
      <w:r>
        <w:rPr>
          <w:b/>
          <w:bCs/>
          <w:u w:val="single"/>
        </w:rPr>
        <w:t xml:space="preserve">consolidated </w:t>
      </w:r>
      <w:r w:rsidRPr="00266690">
        <w:rPr>
          <w:b/>
          <w:bCs/>
          <w:u w:val="single"/>
        </w:rPr>
        <w:t>list</w:t>
      </w:r>
      <w:r w:rsidRPr="00266690">
        <w:t xml:space="preserve"> of capital items which deliver productivity, AHW and</w:t>
      </w:r>
      <w:r w:rsidRPr="00AF36C7">
        <w:rPr>
          <w:color w:val="FF0000"/>
        </w:rPr>
        <w:t>/or</w:t>
      </w:r>
      <w:r w:rsidRPr="00266690">
        <w:t xml:space="preserve"> environmental </w:t>
      </w:r>
      <w:r w:rsidRPr="00E23E74">
        <w:t xml:space="preserve">benefits. Any capital item </w:t>
      </w:r>
      <w:r w:rsidR="00E23E74" w:rsidRPr="00E23E74">
        <w:t xml:space="preserve">contributing to the Pathway’s sector priorities would </w:t>
      </w:r>
      <w:r w:rsidR="00AF36C7" w:rsidRPr="00E23E74">
        <w:t>be labelled</w:t>
      </w:r>
      <w:r w:rsidR="00E23E74" w:rsidRPr="00E23E74">
        <w:t xml:space="preserve"> as such in the list. </w:t>
      </w:r>
      <w:r w:rsidR="009D604D" w:rsidRPr="00E23E74">
        <w:t xml:space="preserve"> </w:t>
      </w:r>
    </w:p>
    <w:p w14:paraId="6A1725D8" w14:textId="1200CD3C" w:rsidR="00266690" w:rsidRDefault="00266690" w:rsidP="00266690">
      <w:pPr>
        <w:pStyle w:val="ListParagraph"/>
        <w:numPr>
          <w:ilvl w:val="0"/>
          <w:numId w:val="10"/>
        </w:numPr>
      </w:pPr>
      <w:r w:rsidRPr="00EC0A52">
        <w:rPr>
          <w:b/>
          <w:bCs/>
        </w:rPr>
        <w:t>Farm Transformation Fund - FTF (large):</w:t>
      </w:r>
      <w:r w:rsidRPr="00EC0A52">
        <w:t xml:space="preserve"> </w:t>
      </w:r>
      <w:r w:rsidR="00E23E74">
        <w:t xml:space="preserve">one scheme for </w:t>
      </w:r>
      <w:r w:rsidRPr="00EC0A52">
        <w:t xml:space="preserve">bespoke </w:t>
      </w:r>
      <w:r w:rsidR="00E23E74">
        <w:t xml:space="preserve">infrastructure investment </w:t>
      </w:r>
      <w:r w:rsidRPr="00EC0A52">
        <w:t xml:space="preserve">grouped into ‘themes’ </w:t>
      </w:r>
      <w:r>
        <w:t xml:space="preserve">with several ‘themes’ focused </w:t>
      </w:r>
      <w:r w:rsidR="00E23E74">
        <w:t xml:space="preserve">specifically on delivering the </w:t>
      </w:r>
      <w:r>
        <w:t>sector</w:t>
      </w:r>
      <w:r w:rsidR="00E23E74">
        <w:t xml:space="preserve"> AHW</w:t>
      </w:r>
      <w:r>
        <w:t xml:space="preserve"> priorities.</w:t>
      </w:r>
    </w:p>
    <w:p w14:paraId="5D7A5728" w14:textId="77777777" w:rsidR="009D604D" w:rsidRPr="009D604D" w:rsidRDefault="009D604D" w:rsidP="009D604D">
      <w:pPr>
        <w:pStyle w:val="ListParagraph"/>
      </w:pPr>
    </w:p>
    <w:p w14:paraId="405CF13E" w14:textId="7221E3D1" w:rsidR="00B069A3" w:rsidRPr="00B9334D" w:rsidRDefault="00E23E74" w:rsidP="009D604D">
      <w:r>
        <w:t xml:space="preserve">Following an </w:t>
      </w:r>
      <w:r w:rsidR="004366F3">
        <w:t>initial discussion</w:t>
      </w:r>
      <w:r>
        <w:t xml:space="preserve"> at the sub-group, y</w:t>
      </w:r>
      <w:r w:rsidR="00A70A37">
        <w:t xml:space="preserve">ou asked for further clarification around both options and asked some additional questions. </w:t>
      </w:r>
      <w:r>
        <w:t xml:space="preserve">Feedback was that this was a complex question and quite a significant decision to make. </w:t>
      </w:r>
      <w:r w:rsidR="00EC0A52">
        <w:t>This paper sets out</w:t>
      </w:r>
      <w:r w:rsidR="004366F3">
        <w:t xml:space="preserve"> </w:t>
      </w:r>
      <w:r w:rsidR="009D604D">
        <w:t xml:space="preserve">the </w:t>
      </w:r>
      <w:r w:rsidR="004366F3">
        <w:t>two options</w:t>
      </w:r>
      <w:r w:rsidR="009D604D">
        <w:t xml:space="preserve"> in detail, addressing each question </w:t>
      </w:r>
      <w:r w:rsidR="002F4907">
        <w:t xml:space="preserve">on scheme design, and what this means for the farmer. </w:t>
      </w:r>
      <w:r w:rsidR="009D604D">
        <w:t>It then a</w:t>
      </w:r>
      <w:r w:rsidR="00B069A3">
        <w:t>sk</w:t>
      </w:r>
      <w:r w:rsidR="009D604D">
        <w:t>s</w:t>
      </w:r>
      <w:r w:rsidR="00B069A3">
        <w:t xml:space="preserve"> you </w:t>
      </w:r>
      <w:r w:rsidR="009D604D">
        <w:t xml:space="preserve">whether Option A or B is preferable for each element of scheme design </w:t>
      </w:r>
      <w:r w:rsidR="00B069A3">
        <w:t xml:space="preserve">and </w:t>
      </w:r>
      <w:r w:rsidR="009D604D">
        <w:t xml:space="preserve">leaves space for you to </w:t>
      </w:r>
      <w:r w:rsidR="002F4907">
        <w:t>explain your rationale and add further</w:t>
      </w:r>
      <w:r w:rsidR="00B069A3">
        <w:t xml:space="preserve"> comments/que</w:t>
      </w:r>
      <w:r w:rsidR="002F4907">
        <w:t>stions</w:t>
      </w:r>
      <w:r w:rsidR="00B069A3">
        <w:t>.</w:t>
      </w:r>
    </w:p>
    <w:p w14:paraId="2C51CF7C" w14:textId="6D66D20C" w:rsidR="00B069A3" w:rsidRPr="00B069A3" w:rsidRDefault="00B069A3" w:rsidP="00AF36C7">
      <w:pPr>
        <w:pStyle w:val="Heading2"/>
        <w:numPr>
          <w:ilvl w:val="0"/>
          <w:numId w:val="22"/>
        </w:numPr>
      </w:pPr>
      <w:r>
        <w:t>Background</w:t>
      </w:r>
    </w:p>
    <w:p w14:paraId="6FE154F2" w14:textId="4CB450CC" w:rsidR="00240168" w:rsidRPr="00B069A3" w:rsidRDefault="00B069A3" w:rsidP="00AF36C7">
      <w:pPr>
        <w:pStyle w:val="Heading3"/>
        <w:numPr>
          <w:ilvl w:val="1"/>
          <w:numId w:val="22"/>
        </w:numPr>
      </w:pPr>
      <w:r>
        <w:t>Why we are considering delivering AHW grants through FIF</w:t>
      </w:r>
    </w:p>
    <w:p w14:paraId="22DA1B73" w14:textId="77777777" w:rsidR="00B069A3" w:rsidRDefault="00B069A3" w:rsidP="008B71FE">
      <w:r>
        <w:rPr>
          <w:rStyle w:val="normaltextrun"/>
          <w:rFonts w:cs="Arial"/>
          <w:color w:val="000000"/>
          <w:shd w:val="clear" w:color="auto" w:fill="FFFFFF"/>
        </w:rPr>
        <w:t xml:space="preserve">We have received previous </w:t>
      </w:r>
      <w:r w:rsidRPr="000615C5">
        <w:rPr>
          <w:rStyle w:val="normaltextrun"/>
          <w:rFonts w:cs="Arial"/>
          <w:b/>
          <w:bCs/>
          <w:color w:val="000000"/>
          <w:shd w:val="clear" w:color="auto" w:fill="FFFFFF"/>
        </w:rPr>
        <w:t>steers from Defra ministers</w:t>
      </w:r>
      <w:r>
        <w:rPr>
          <w:rStyle w:val="normaltextrun"/>
          <w:rFonts w:cs="Arial"/>
          <w:color w:val="000000"/>
          <w:shd w:val="clear" w:color="auto" w:fill="FFFFFF"/>
        </w:rPr>
        <w:t xml:space="preserve"> that </w:t>
      </w:r>
      <w:r w:rsidRPr="000615C5">
        <w:rPr>
          <w:rStyle w:val="normaltextrun"/>
          <w:rFonts w:cs="Arial"/>
          <w:b/>
          <w:bCs/>
          <w:color w:val="000000"/>
          <w:shd w:val="clear" w:color="auto" w:fill="FFFFFF"/>
        </w:rPr>
        <w:t>Future Farming has too many grants scheme </w:t>
      </w:r>
      <w:r>
        <w:rPr>
          <w:rStyle w:val="normaltextrun"/>
          <w:rFonts w:cs="Arial"/>
          <w:color w:val="000000"/>
          <w:shd w:val="clear" w:color="auto" w:fill="FFFFFF"/>
        </w:rPr>
        <w:t xml:space="preserve">which may be </w:t>
      </w:r>
      <w:r w:rsidRPr="000615C5">
        <w:rPr>
          <w:rStyle w:val="normaltextrun"/>
          <w:rFonts w:cs="Arial"/>
          <w:b/>
          <w:bCs/>
          <w:color w:val="000000"/>
          <w:shd w:val="clear" w:color="auto" w:fill="FFFFFF"/>
        </w:rPr>
        <w:t>confusing or complex for users</w:t>
      </w:r>
      <w:r>
        <w:rPr>
          <w:rStyle w:val="normaltextrun"/>
          <w:rFonts w:cs="Arial"/>
          <w:color w:val="000000"/>
          <w:shd w:val="clear" w:color="auto" w:fill="FFFFFF"/>
        </w:rPr>
        <w:t xml:space="preserve"> and ministers would </w:t>
      </w:r>
      <w:r w:rsidRPr="00614599">
        <w:rPr>
          <w:rStyle w:val="normaltextrun"/>
          <w:rFonts w:cs="Arial"/>
          <w:color w:val="000000"/>
          <w:shd w:val="clear" w:color="auto" w:fill="FFFFFF"/>
        </w:rPr>
        <w:t>like a</w:t>
      </w:r>
      <w:r>
        <w:rPr>
          <w:rStyle w:val="normaltextrun"/>
          <w:rFonts w:cs="Arial"/>
          <w:b/>
          <w:bCs/>
          <w:color w:val="000000"/>
          <w:shd w:val="clear" w:color="auto" w:fill="FFFFFF"/>
        </w:rPr>
        <w:t xml:space="preserve"> consolidated approach</w:t>
      </w:r>
      <w:r>
        <w:rPr>
          <w:rStyle w:val="normaltextrun"/>
          <w:rFonts w:cs="Arial"/>
          <w:color w:val="000000"/>
          <w:shd w:val="clear" w:color="auto" w:fill="FFFFFF"/>
        </w:rPr>
        <w:t xml:space="preserve"> to keep the process simple for farmers.</w:t>
      </w:r>
      <w:r>
        <w:rPr>
          <w:rStyle w:val="eop"/>
          <w:rFonts w:cs="Arial"/>
          <w:color w:val="000000"/>
          <w:shd w:val="clear" w:color="auto" w:fill="FFFFFF"/>
        </w:rPr>
        <w:t> </w:t>
      </w:r>
      <w:r>
        <w:t xml:space="preserve"> </w:t>
      </w:r>
    </w:p>
    <w:p w14:paraId="245BDA21" w14:textId="2D760776" w:rsidR="00B069A3" w:rsidRPr="00BC642A" w:rsidRDefault="00B069A3" w:rsidP="008B71FE">
      <w:r>
        <w:t xml:space="preserve">This message is consistent with the feedback we have received through user testing and </w:t>
      </w:r>
      <w:r w:rsidR="008B71FE">
        <w:t xml:space="preserve">stakeholder </w:t>
      </w:r>
      <w:r>
        <w:t>engagement</w:t>
      </w:r>
      <w:r w:rsidR="008B71FE">
        <w:t xml:space="preserve">. Farmers </w:t>
      </w:r>
      <w:r>
        <w:t xml:space="preserve">have welcomed a simplified and user journey to cut down the </w:t>
      </w:r>
      <w:r w:rsidRPr="000615C5">
        <w:rPr>
          <w:b/>
          <w:bCs/>
        </w:rPr>
        <w:t>administrative burden</w:t>
      </w:r>
      <w:r>
        <w:rPr>
          <w:b/>
          <w:bCs/>
        </w:rPr>
        <w:t xml:space="preserve"> </w:t>
      </w:r>
      <w:r>
        <w:t xml:space="preserve">of </w:t>
      </w:r>
      <w:r w:rsidR="008B71FE">
        <w:t>applying grants. A</w:t>
      </w:r>
      <w:r w:rsidRPr="00BC642A">
        <w:t xml:space="preserve"> common aggravating factor </w:t>
      </w:r>
      <w:r>
        <w:t xml:space="preserve">for farmers has been </w:t>
      </w:r>
      <w:r w:rsidRPr="00BC642A">
        <w:rPr>
          <w:b/>
          <w:bCs/>
        </w:rPr>
        <w:t>repeat</w:t>
      </w:r>
      <w:r>
        <w:rPr>
          <w:b/>
          <w:bCs/>
        </w:rPr>
        <w:t>edly being asked the same</w:t>
      </w:r>
      <w:r w:rsidRPr="00BC642A">
        <w:rPr>
          <w:b/>
          <w:bCs/>
        </w:rPr>
        <w:t xml:space="preserve"> questions </w:t>
      </w:r>
      <w:r w:rsidRPr="00BC642A">
        <w:t xml:space="preserve">around </w:t>
      </w:r>
      <w:r w:rsidRPr="00BC642A">
        <w:rPr>
          <w:b/>
          <w:bCs/>
        </w:rPr>
        <w:t>basic user/business details</w:t>
      </w:r>
      <w:r w:rsidR="008B71FE">
        <w:rPr>
          <w:b/>
          <w:bCs/>
        </w:rPr>
        <w:t>:</w:t>
      </w:r>
      <w:r w:rsidRPr="00BC642A">
        <w:t xml:space="preserve"> </w:t>
      </w:r>
      <w:r w:rsidRPr="00BC642A">
        <w:rPr>
          <w:i/>
          <w:iCs/>
        </w:rPr>
        <w:t xml:space="preserve">"Defra keep asking me the same questions. They ask me how much pasture I have, but the only way I can check is by going to Defra. </w:t>
      </w:r>
      <w:r w:rsidRPr="00BC642A">
        <w:rPr>
          <w:i/>
          <w:iCs/>
        </w:rPr>
        <w:lastRenderedPageBreak/>
        <w:t>You should make use of the information you already have and tell your applicants what they can and can’t do".</w:t>
      </w:r>
    </w:p>
    <w:p w14:paraId="4B1BBFE9" w14:textId="31988E08" w:rsidR="002402FF" w:rsidRDefault="00655ABB" w:rsidP="00E23E74">
      <w:pPr>
        <w:pStyle w:val="Heading3"/>
        <w:numPr>
          <w:ilvl w:val="1"/>
          <w:numId w:val="22"/>
        </w:numPr>
      </w:pPr>
      <w:r>
        <w:t xml:space="preserve">What </w:t>
      </w:r>
      <w:r w:rsidR="00B069A3">
        <w:t>IT System</w:t>
      </w:r>
      <w:r>
        <w:t xml:space="preserve">s deliver grants? </w:t>
      </w:r>
    </w:p>
    <w:p w14:paraId="59AE7021" w14:textId="3640929D" w:rsidR="002402FF" w:rsidRPr="00650FDD" w:rsidRDefault="00650FDD" w:rsidP="00650FDD">
      <w:pPr>
        <w:rPr>
          <w:rFonts w:eastAsiaTheme="minorEastAsia"/>
          <w:b/>
          <w:bCs/>
          <w:u w:val="single"/>
        </w:rPr>
      </w:pPr>
      <w:r>
        <w:t>A</w:t>
      </w:r>
      <w:r w:rsidR="002402FF">
        <w:t>n existing RPA</w:t>
      </w:r>
      <w:r w:rsidR="002402FF" w:rsidRPr="005308DE">
        <w:t xml:space="preserve"> IT system</w:t>
      </w:r>
      <w:r w:rsidR="002402FF">
        <w:t xml:space="preserve"> – called DORA -</w:t>
      </w:r>
      <w:r w:rsidR="002402FF" w:rsidRPr="005308DE">
        <w:t xml:space="preserve"> </w:t>
      </w:r>
      <w:r w:rsidR="002402FF">
        <w:t>is used to deliver all grants under CAP (</w:t>
      </w:r>
      <w:r w:rsidR="002402FF" w:rsidRPr="00650FDD">
        <w:rPr>
          <w:color w:val="FF0000"/>
        </w:rPr>
        <w:t>and more?</w:t>
      </w:r>
      <w:r w:rsidR="002402FF">
        <w:t>)</w:t>
      </w:r>
      <w:r w:rsidR="007F568C">
        <w:t xml:space="preserve"> </w:t>
      </w:r>
      <w:r w:rsidR="007F568C" w:rsidRPr="00822D64">
        <w:t>to both BPS and non-BPS claimants</w:t>
      </w:r>
      <w:r w:rsidR="002402FF" w:rsidRPr="00822D64">
        <w:t>.</w:t>
      </w:r>
      <w:r w:rsidR="00180E1C" w:rsidRPr="00822D64">
        <w:t xml:space="preserve"> </w:t>
      </w:r>
      <w:r w:rsidR="002402FF" w:rsidRPr="00822D64">
        <w:rPr>
          <w:b/>
          <w:bCs/>
        </w:rPr>
        <w:t>It is very basic</w:t>
      </w:r>
      <w:r w:rsidR="004F53EC" w:rsidRPr="00822D64">
        <w:rPr>
          <w:b/>
          <w:bCs/>
        </w:rPr>
        <w:t>.</w:t>
      </w:r>
      <w:r w:rsidR="002402FF" w:rsidRPr="00822D64">
        <w:t xml:space="preserve"> </w:t>
      </w:r>
      <w:r w:rsidR="004F53EC" w:rsidRPr="00822D64">
        <w:t xml:space="preserve">Currently, many </w:t>
      </w:r>
      <w:r w:rsidR="00180E1C" w:rsidRPr="00822D64">
        <w:t xml:space="preserve">of the </w:t>
      </w:r>
      <w:r w:rsidR="004F53EC" w:rsidRPr="00822D64">
        <w:t>stages need</w:t>
      </w:r>
      <w:r w:rsidR="00180E1C" w:rsidRPr="00822D64">
        <w:t xml:space="preserve">ed to assess a </w:t>
      </w:r>
      <w:r w:rsidR="00180E1C" w:rsidRPr="008B71FE">
        <w:t xml:space="preserve">grant application are done </w:t>
      </w:r>
      <w:r w:rsidR="002402FF" w:rsidRPr="008B71FE">
        <w:t>manually</w:t>
      </w:r>
      <w:r w:rsidR="00180E1C" w:rsidRPr="008B71FE">
        <w:t>. For example</w:t>
      </w:r>
      <w:r w:rsidR="002402FF" w:rsidRPr="008B71FE">
        <w:t xml:space="preserve">, </w:t>
      </w:r>
      <w:r w:rsidR="00180E1C" w:rsidRPr="008B71FE">
        <w:t>evidence for the claims process is submitted via email. There is not one place/webpage to go to view all your grants applications and how they are progressing. Often information needs to be re-entered at each stage. This presents a barrier to uptake for farmers.</w:t>
      </w:r>
    </w:p>
    <w:p w14:paraId="10A4880C" w14:textId="6E93444B" w:rsidR="00B069A3" w:rsidRPr="00650FDD" w:rsidRDefault="002402FF" w:rsidP="00650FDD">
      <w:pPr>
        <w:rPr>
          <w:rFonts w:eastAsiaTheme="minorEastAsia"/>
          <w:b/>
          <w:bCs/>
          <w:u w:val="single"/>
        </w:rPr>
      </w:pPr>
      <w:r w:rsidRPr="008B71FE">
        <w:t xml:space="preserve">Therefore, Defra are building a new IT system for grants – the </w:t>
      </w:r>
      <w:r w:rsidRPr="00650FDD">
        <w:rPr>
          <w:b/>
          <w:bCs/>
        </w:rPr>
        <w:t xml:space="preserve">Strategic Grants Service (SGS) – </w:t>
      </w:r>
      <w:r w:rsidRPr="008B71FE">
        <w:t xml:space="preserve">which </w:t>
      </w:r>
      <w:r w:rsidR="00180E1C" w:rsidRPr="008B71FE">
        <w:t>is</w:t>
      </w:r>
      <w:r w:rsidR="0057668D" w:rsidRPr="008B71FE">
        <w:t xml:space="preserve"> </w:t>
      </w:r>
      <w:r w:rsidR="00180E1C" w:rsidRPr="008B71FE">
        <w:t>due to be ready in Autumn 2022</w:t>
      </w:r>
      <w:r w:rsidR="008B71FE" w:rsidRPr="008B71FE">
        <w:t>. It</w:t>
      </w:r>
      <w:r w:rsidR="0057668D" w:rsidRPr="008B71FE">
        <w:t xml:space="preserve"> will be accessible to all farmers</w:t>
      </w:r>
      <w:r w:rsidR="008B71FE" w:rsidRPr="008B71FE">
        <w:t xml:space="preserve"> and address existing barriers to uptake</w:t>
      </w:r>
      <w:r w:rsidR="00180E1C" w:rsidRPr="008B71FE">
        <w:t xml:space="preserve">. </w:t>
      </w:r>
      <w:r w:rsidR="00B069A3" w:rsidRPr="00650FDD">
        <w:rPr>
          <w:rFonts w:eastAsia="Calibri"/>
        </w:rPr>
        <w:t xml:space="preserve">Development of SGS is </w:t>
      </w:r>
      <w:r w:rsidR="0057668D" w:rsidRPr="00650FDD">
        <w:rPr>
          <w:rFonts w:eastAsia="Calibri"/>
          <w:b/>
          <w:bCs/>
        </w:rPr>
        <w:t>not</w:t>
      </w:r>
      <w:r w:rsidR="00B069A3" w:rsidRPr="00650FDD">
        <w:rPr>
          <w:rFonts w:eastAsia="Calibri"/>
        </w:rPr>
        <w:t xml:space="preserve"> driving the decision to </w:t>
      </w:r>
      <w:r w:rsidRPr="00650FDD">
        <w:rPr>
          <w:rFonts w:eastAsia="Calibri"/>
        </w:rPr>
        <w:t>consolidat</w:t>
      </w:r>
      <w:r w:rsidR="0057668D" w:rsidRPr="00650FDD">
        <w:rPr>
          <w:rFonts w:eastAsia="Calibri"/>
        </w:rPr>
        <w:t>e</w:t>
      </w:r>
      <w:r w:rsidRPr="00650FDD">
        <w:rPr>
          <w:rFonts w:eastAsia="Calibri"/>
        </w:rPr>
        <w:t xml:space="preserve"> FF grants</w:t>
      </w:r>
      <w:r w:rsidR="0057668D" w:rsidRPr="00650FDD">
        <w:rPr>
          <w:rFonts w:eastAsia="Calibri"/>
        </w:rPr>
        <w:t>.</w:t>
      </w:r>
      <w:r w:rsidRPr="00650FDD">
        <w:rPr>
          <w:rFonts w:eastAsia="Calibri"/>
        </w:rPr>
        <w:t xml:space="preserve"> </w:t>
      </w:r>
      <w:r w:rsidR="0057668D" w:rsidRPr="00650FDD">
        <w:rPr>
          <w:rFonts w:eastAsia="Calibri"/>
        </w:rPr>
        <w:t>H</w:t>
      </w:r>
      <w:r w:rsidRPr="00650FDD">
        <w:rPr>
          <w:rFonts w:eastAsia="Calibri"/>
        </w:rPr>
        <w:t xml:space="preserve">owever, it does present an opportunity to develop an IT system that is easier for farmers to use and is faster and cheaper </w:t>
      </w:r>
      <w:r w:rsidR="0057668D" w:rsidRPr="00650FDD">
        <w:rPr>
          <w:rFonts w:eastAsia="Calibri"/>
        </w:rPr>
        <w:t xml:space="preserve">for RPA </w:t>
      </w:r>
      <w:r w:rsidRPr="00650FDD">
        <w:rPr>
          <w:rFonts w:eastAsia="Calibri"/>
        </w:rPr>
        <w:t xml:space="preserve">to process grant applications. Greater commonality between grant schemes increases these benefits. </w:t>
      </w:r>
    </w:p>
    <w:p w14:paraId="737ED4BC" w14:textId="19DB29E4" w:rsidR="00B069A3" w:rsidRPr="002402FF" w:rsidRDefault="002402FF" w:rsidP="00650FDD">
      <w:r w:rsidRPr="00650FDD">
        <w:rPr>
          <w:rFonts w:eastAsia="Calibri"/>
        </w:rPr>
        <w:t>Whether or not we integrate with FIF, SGS will be the IT system used to process AHW grants and will need to be linked with SFI</w:t>
      </w:r>
      <w:r w:rsidR="008B71FE" w:rsidRPr="00650FDD">
        <w:rPr>
          <w:rFonts w:eastAsia="Calibri"/>
        </w:rPr>
        <w:t>’s</w:t>
      </w:r>
      <w:r w:rsidRPr="00650FDD">
        <w:rPr>
          <w:rFonts w:eastAsia="Calibri"/>
        </w:rPr>
        <w:t xml:space="preserve"> IT systems to link</w:t>
      </w:r>
      <w:r w:rsidR="008B71FE" w:rsidRPr="00650FDD">
        <w:rPr>
          <w:rFonts w:eastAsia="Calibri"/>
        </w:rPr>
        <w:t xml:space="preserve"> the </w:t>
      </w:r>
      <w:r w:rsidR="00B069A3" w:rsidRPr="00650FDD">
        <w:rPr>
          <w:rFonts w:eastAsia="Calibri"/>
        </w:rPr>
        <w:t>AHWR</w:t>
      </w:r>
      <w:r w:rsidR="008B71FE" w:rsidRPr="00650FDD">
        <w:rPr>
          <w:rFonts w:eastAsia="Calibri"/>
        </w:rPr>
        <w:t xml:space="preserve"> to AHW grants</w:t>
      </w:r>
      <w:r w:rsidRPr="00650FDD">
        <w:rPr>
          <w:rFonts w:eastAsia="Calibri"/>
        </w:rPr>
        <w:t>.</w:t>
      </w:r>
      <w:r w:rsidR="0057668D" w:rsidRPr="00650FDD">
        <w:rPr>
          <w:rFonts w:eastAsia="Calibri"/>
        </w:rPr>
        <w:t xml:space="preserve"> </w:t>
      </w:r>
      <w:r w:rsidR="008B71FE" w:rsidRPr="00650FDD">
        <w:rPr>
          <w:rFonts w:eastAsia="Calibri"/>
        </w:rPr>
        <w:t>It is not possible to link these in Year 1 as this would likely delay launch. However, it will be done at a later date.</w:t>
      </w:r>
    </w:p>
    <w:p w14:paraId="6A801E5B" w14:textId="67B7E011" w:rsidR="00B069A3" w:rsidRDefault="00655ABB" w:rsidP="00E23E74">
      <w:pPr>
        <w:pStyle w:val="Heading3"/>
        <w:numPr>
          <w:ilvl w:val="1"/>
          <w:numId w:val="22"/>
        </w:numPr>
      </w:pPr>
      <w:r>
        <w:t xml:space="preserve">What is the </w:t>
      </w:r>
      <w:r w:rsidR="00B069A3">
        <w:t>Farming Investment Fund</w:t>
      </w:r>
      <w:r>
        <w:t>’s current offer?</w:t>
      </w:r>
    </w:p>
    <w:p w14:paraId="7193976D" w14:textId="32981433" w:rsidR="000070E6" w:rsidRPr="00EC0A52" w:rsidRDefault="00BB0973" w:rsidP="000070E6">
      <w:r>
        <w:t xml:space="preserve">The </w:t>
      </w:r>
      <w:hyperlink r:id="rId12" w:history="1">
        <w:r w:rsidRPr="00266690">
          <w:rPr>
            <w:rStyle w:val="Hyperlink"/>
          </w:rPr>
          <w:t>Farming Investment Fund</w:t>
        </w:r>
      </w:hyperlink>
      <w:r>
        <w:t xml:space="preserve"> (FIF) launched in November 2021, and it is based on the Countryside Productivity Grants Scheme (CPGS). </w:t>
      </w:r>
      <w:r w:rsidR="000070E6">
        <w:t xml:space="preserve">It offers grants for capital items </w:t>
      </w:r>
      <w:r w:rsidR="000070E6" w:rsidRPr="00E23E74">
        <w:rPr>
          <w:b/>
          <w:bCs/>
        </w:rPr>
        <w:t>that improve productivity as a primary goal,</w:t>
      </w:r>
      <w:r w:rsidR="000070E6">
        <w:t xml:space="preserve"> but also considers </w:t>
      </w:r>
      <w:r w:rsidR="000070E6" w:rsidRPr="000070E6">
        <w:t xml:space="preserve">environmental </w:t>
      </w:r>
      <w:r w:rsidR="000070E6">
        <w:t xml:space="preserve">and animal health and welfare benefits. </w:t>
      </w:r>
      <w:r w:rsidR="002A58FB">
        <w:t>FIF has</w:t>
      </w:r>
      <w:r w:rsidR="000070E6" w:rsidRPr="00EC0A52">
        <w:t xml:space="preserve"> two parts:</w:t>
      </w:r>
    </w:p>
    <w:p w14:paraId="462515C0" w14:textId="4269CE66" w:rsidR="000070E6" w:rsidRPr="00EC0A52" w:rsidRDefault="000070E6" w:rsidP="000070E6">
      <w:pPr>
        <w:pStyle w:val="ListParagraph"/>
        <w:numPr>
          <w:ilvl w:val="0"/>
          <w:numId w:val="10"/>
        </w:numPr>
      </w:pPr>
      <w:r w:rsidRPr="00EC0A52">
        <w:rPr>
          <w:b/>
          <w:bCs/>
        </w:rPr>
        <w:t>Farm Equipment and Technology Fund - FETF (small):</w:t>
      </w:r>
      <w:r w:rsidRPr="00EC0A52">
        <w:t xml:space="preserve"> a specified list of items, providing grants between £2,000 and £25,000</w:t>
      </w:r>
      <w:r>
        <w:t>. Items included had to score positively for productivity, environment and AHW.</w:t>
      </w:r>
    </w:p>
    <w:p w14:paraId="24BE35BA" w14:textId="77777777" w:rsidR="002A58FB" w:rsidRDefault="000070E6" w:rsidP="002A58FB">
      <w:pPr>
        <w:pStyle w:val="ListParagraph"/>
        <w:numPr>
          <w:ilvl w:val="0"/>
          <w:numId w:val="10"/>
        </w:numPr>
      </w:pPr>
      <w:r w:rsidRPr="00EC0A52">
        <w:rPr>
          <w:b/>
          <w:bCs/>
        </w:rPr>
        <w:t>Farm Transformation Fund - FTF (large):</w:t>
      </w:r>
      <w:r w:rsidRPr="00EC0A52">
        <w:t xml:space="preserve"> bespoke grants </w:t>
      </w:r>
      <w:r w:rsidR="002A58FB">
        <w:t xml:space="preserve">for infrastructure projects between </w:t>
      </w:r>
      <w:r w:rsidRPr="00EC0A52">
        <w:t>£35,000 and £500,000</w:t>
      </w:r>
      <w:r w:rsidR="002A58FB">
        <w:t xml:space="preserve">. FTF grants are </w:t>
      </w:r>
      <w:r w:rsidR="002A58FB" w:rsidRPr="00EC0A52">
        <w:t>grouped into ‘</w:t>
      </w:r>
      <w:proofErr w:type="gramStart"/>
      <w:r w:rsidR="002A58FB" w:rsidRPr="00EC0A52">
        <w:t>themes</w:t>
      </w:r>
      <w:r w:rsidR="002A58FB">
        <w:t>’</w:t>
      </w:r>
      <w:proofErr w:type="gramEnd"/>
      <w:r w:rsidR="002A58FB">
        <w:t xml:space="preserve">. For the first round of FTF these are: </w:t>
      </w:r>
    </w:p>
    <w:p w14:paraId="616A230B" w14:textId="2C139A1D" w:rsidR="002A58FB" w:rsidRDefault="002A58FB" w:rsidP="002A58FB">
      <w:pPr>
        <w:pStyle w:val="ListParagraph"/>
        <w:numPr>
          <w:ilvl w:val="1"/>
          <w:numId w:val="10"/>
        </w:numPr>
      </w:pPr>
      <w:r>
        <w:t xml:space="preserve">‘Water Management’ for arable farmers, launched in November </w:t>
      </w:r>
    </w:p>
    <w:p w14:paraId="485C7070" w14:textId="5D890989" w:rsidR="002A58FB" w:rsidRPr="00E22682" w:rsidRDefault="002A58FB" w:rsidP="002A58FB">
      <w:pPr>
        <w:pStyle w:val="ListParagraph"/>
        <w:numPr>
          <w:ilvl w:val="1"/>
          <w:numId w:val="10"/>
        </w:numPr>
        <w:rPr>
          <w:i/>
          <w:iCs/>
        </w:rPr>
      </w:pPr>
      <w:r>
        <w:t xml:space="preserve">‘Improving Productivity’ for arable and livestock farmers, launching in December. </w:t>
      </w:r>
      <w:r w:rsidRPr="00E22682">
        <w:rPr>
          <w:i/>
          <w:iCs/>
        </w:rPr>
        <w:t>This includes</w:t>
      </w:r>
      <w:r w:rsidR="00E22682" w:rsidRPr="00E22682">
        <w:rPr>
          <w:i/>
          <w:iCs/>
        </w:rPr>
        <w:t xml:space="preserve"> infrastructure that may impact</w:t>
      </w:r>
      <w:r w:rsidRPr="00E22682">
        <w:rPr>
          <w:i/>
          <w:iCs/>
        </w:rPr>
        <w:t xml:space="preserve"> AHW, </w:t>
      </w:r>
      <w:proofErr w:type="spellStart"/>
      <w:r w:rsidRPr="00E22682">
        <w:rPr>
          <w:i/>
          <w:iCs/>
        </w:rPr>
        <w:t>eg</w:t>
      </w:r>
      <w:proofErr w:type="spellEnd"/>
      <w:r w:rsidRPr="00E22682">
        <w:rPr>
          <w:i/>
          <w:iCs/>
        </w:rPr>
        <w:t>: robotic milkers.</w:t>
      </w:r>
    </w:p>
    <w:p w14:paraId="17C048FC" w14:textId="38AA3740" w:rsidR="000070E6" w:rsidRPr="00EC0A52" w:rsidRDefault="002A58FB" w:rsidP="002A58FB">
      <w:pPr>
        <w:pStyle w:val="ListParagraph"/>
        <w:numPr>
          <w:ilvl w:val="1"/>
          <w:numId w:val="10"/>
        </w:numPr>
      </w:pPr>
      <w:r w:rsidRPr="00EC0A52">
        <w:t xml:space="preserve">‘Adding Value’, </w:t>
      </w:r>
      <w:r>
        <w:t xml:space="preserve">for any farmer wishing to process their raw agricultural product on site, </w:t>
      </w:r>
      <w:proofErr w:type="spellStart"/>
      <w:r>
        <w:t>eg</w:t>
      </w:r>
      <w:proofErr w:type="spellEnd"/>
      <w:r>
        <w:t>: make cheese.</w:t>
      </w:r>
    </w:p>
    <w:p w14:paraId="1470A84A" w14:textId="46BCA40B" w:rsidR="00BB0973" w:rsidRDefault="00BB0973" w:rsidP="002A58FB">
      <w:pPr>
        <w:pStyle w:val="ListParagraph"/>
      </w:pPr>
    </w:p>
    <w:p w14:paraId="50E9B677" w14:textId="50E6EC5A" w:rsidR="00BB0973" w:rsidRDefault="00BB0973" w:rsidP="002A58FB">
      <w:r>
        <w:t>FIF will run for at least 5 rounds, until 2025/26. It is not be confirmed whether it will run beyond this.</w:t>
      </w:r>
      <w:r w:rsidR="002A58FB">
        <w:t xml:space="preserve"> </w:t>
      </w:r>
      <w:r>
        <w:t>The first round of FIF is an interim offer. While there have been some improvements compared to the last round of CPSG, these are limited. RPA’s existing IT system</w:t>
      </w:r>
      <w:r w:rsidR="00E22682">
        <w:t xml:space="preserve"> – DORA – is still used</w:t>
      </w:r>
      <w:r>
        <w:t xml:space="preserve"> for delivering grants</w:t>
      </w:r>
      <w:r w:rsidR="00991D3C">
        <w:t xml:space="preserve"> </w:t>
      </w:r>
      <w:r w:rsidR="00E22682">
        <w:t>and there have</w:t>
      </w:r>
      <w:r w:rsidR="00991D3C">
        <w:t xml:space="preserve"> only </w:t>
      </w:r>
      <w:r w:rsidR="00E22682">
        <w:t xml:space="preserve">been </w:t>
      </w:r>
      <w:r w:rsidR="00991D3C">
        <w:t xml:space="preserve">a </w:t>
      </w:r>
      <w:r w:rsidR="00E22682">
        <w:t>few items added to the l</w:t>
      </w:r>
      <w:r w:rsidR="00991D3C">
        <w:t>ist</w:t>
      </w:r>
      <w:r>
        <w:t xml:space="preserve">. </w:t>
      </w:r>
      <w:r w:rsidR="002402FF">
        <w:t>The next round of FIF in Autumn 2022</w:t>
      </w:r>
      <w:r w:rsidR="007F568C">
        <w:t xml:space="preserve"> will be the full new offer delivered by </w:t>
      </w:r>
      <w:r w:rsidR="007F568C" w:rsidRPr="007F568C">
        <w:rPr>
          <w:b/>
          <w:bCs/>
        </w:rPr>
        <w:t>SGS</w:t>
      </w:r>
      <w:r w:rsidR="007F568C">
        <w:t xml:space="preserve"> </w:t>
      </w:r>
      <w:r w:rsidR="007F568C" w:rsidRPr="007F568C">
        <w:t>and is</w:t>
      </w:r>
      <w:r w:rsidR="007F568C">
        <w:t xml:space="preserve"> expected to have substantial updates, </w:t>
      </w:r>
      <w:proofErr w:type="spellStart"/>
      <w:r w:rsidR="007F568C" w:rsidRPr="007F568C">
        <w:rPr>
          <w:color w:val="FF0000"/>
        </w:rPr>
        <w:t>eg</w:t>
      </w:r>
      <w:proofErr w:type="spellEnd"/>
      <w:r w:rsidR="007F568C" w:rsidRPr="007F568C">
        <w:rPr>
          <w:color w:val="FF0000"/>
        </w:rPr>
        <w:t xml:space="preserve">: </w:t>
      </w:r>
      <w:r w:rsidR="007F568C">
        <w:t>….</w:t>
      </w:r>
    </w:p>
    <w:p w14:paraId="02F9D75C" w14:textId="723880FB" w:rsidR="00BB0973" w:rsidRDefault="007F568C" w:rsidP="00B069A3">
      <w:r>
        <w:t>Given that the full AHW grants offer does not launch until Autumn 2022, it was decided that the first round of FETF should retain the 53 livestock items from CP</w:t>
      </w:r>
      <w:r w:rsidR="00E22682">
        <w:t>S</w:t>
      </w:r>
      <w:r>
        <w:t xml:space="preserve">G – many of these deliver both productivity and AHW benefits. A decision </w:t>
      </w:r>
      <w:r w:rsidR="000070E6">
        <w:t xml:space="preserve">is needed </w:t>
      </w:r>
      <w:r>
        <w:t>on whether these are included in future round</w:t>
      </w:r>
      <w:r w:rsidR="000070E6">
        <w:t>s of</w:t>
      </w:r>
      <w:r>
        <w:t xml:space="preserve"> FETF</w:t>
      </w:r>
      <w:r w:rsidR="000070E6">
        <w:t>, are removed</w:t>
      </w:r>
      <w:r>
        <w:t xml:space="preserve"> </w:t>
      </w:r>
      <w:r w:rsidRPr="002A58FB">
        <w:rPr>
          <w:i/>
          <w:iCs/>
        </w:rPr>
        <w:t xml:space="preserve">or </w:t>
      </w:r>
      <w:r w:rsidR="000070E6" w:rsidRPr="000070E6">
        <w:t>are</w:t>
      </w:r>
      <w:r w:rsidR="000070E6" w:rsidRPr="002A58FB">
        <w:rPr>
          <w:i/>
          <w:iCs/>
        </w:rPr>
        <w:t xml:space="preserve"> </w:t>
      </w:r>
      <w:r>
        <w:t>moved to the list for a standalone AHW small grants</w:t>
      </w:r>
      <w:r w:rsidR="000070E6">
        <w:t>.</w:t>
      </w:r>
      <w:r>
        <w:t xml:space="preserve"> </w:t>
      </w:r>
    </w:p>
    <w:p w14:paraId="7380BF78" w14:textId="0CB460EA" w:rsidR="070F2AA8" w:rsidRDefault="425A710A" w:rsidP="005D3E84">
      <w:pPr>
        <w:pStyle w:val="Heading2"/>
        <w:numPr>
          <w:ilvl w:val="0"/>
          <w:numId w:val="22"/>
        </w:numPr>
      </w:pPr>
      <w:r w:rsidRPr="0AD54BD4">
        <w:lastRenderedPageBreak/>
        <w:t>Overarching Questions</w:t>
      </w:r>
    </w:p>
    <w:p w14:paraId="06E624AC" w14:textId="1BCF14E1" w:rsidR="0AD54BD4" w:rsidRPr="005D3E84" w:rsidRDefault="0AD54BD4" w:rsidP="0AD54BD4">
      <w:pPr>
        <w:spacing w:after="0" w:line="240" w:lineRule="auto"/>
        <w:rPr>
          <w:rFonts w:ascii="Calibri" w:eastAsia="Calibri" w:hAnsi="Calibri" w:cs="Calibri"/>
        </w:rPr>
      </w:pPr>
    </w:p>
    <w:p w14:paraId="16F83D03" w14:textId="77777777" w:rsidR="00C023D3" w:rsidRPr="001F7F9F" w:rsidRDefault="00C023D3" w:rsidP="00C023D3">
      <w:pPr>
        <w:pStyle w:val="Heading3"/>
        <w:numPr>
          <w:ilvl w:val="1"/>
          <w:numId w:val="22"/>
        </w:numPr>
        <w:rPr>
          <w:rFonts w:eastAsia="Times New Roman"/>
        </w:rPr>
      </w:pPr>
      <w:r>
        <w:rPr>
          <w:rFonts w:eastAsia="Times New Roman"/>
        </w:rPr>
        <w:t xml:space="preserve">How would this decision impact our ability to </w:t>
      </w:r>
      <w:r w:rsidRPr="001F7F9F">
        <w:rPr>
          <w:b/>
          <w:bCs/>
        </w:rPr>
        <w:t xml:space="preserve">link </w:t>
      </w:r>
      <w:r>
        <w:rPr>
          <w:b/>
          <w:bCs/>
        </w:rPr>
        <w:t>grants to th</w:t>
      </w:r>
      <w:r w:rsidRPr="001F7F9F">
        <w:rPr>
          <w:b/>
          <w:bCs/>
        </w:rPr>
        <w:t>e AHWR</w:t>
      </w:r>
      <w:r>
        <w:t>?</w:t>
      </w:r>
    </w:p>
    <w:p w14:paraId="4C4969DD" w14:textId="77777777" w:rsidR="00C023D3" w:rsidRPr="001F7F9F" w:rsidRDefault="00C023D3" w:rsidP="00C023D3">
      <w:pPr>
        <w:pStyle w:val="ListParagraph"/>
        <w:ind w:left="360"/>
        <w:rPr>
          <w:rFonts w:eastAsia="Times New Roman"/>
        </w:rPr>
      </w:pPr>
    </w:p>
    <w:p w14:paraId="376F31F5" w14:textId="77777777" w:rsidR="00C023D3" w:rsidRDefault="00C023D3" w:rsidP="00C023D3">
      <w:pPr>
        <w:spacing w:after="0"/>
        <w:rPr>
          <w:rFonts w:eastAsia="Times New Roman"/>
        </w:rPr>
      </w:pPr>
      <w:r>
        <w:rPr>
          <w:rFonts w:eastAsia="Times New Roman"/>
        </w:rPr>
        <w:t>We expect to have a high-level of join up between AHWR and AHW grants, as this is critical for the success of the Pathway. This would help incentivise uptake of both AHW grants and the Review (before it becomes mandatory) and build a strong-farmer vet relationship. However, we have agreed not to link AHWR and AHW grants in Year 1. This is because:</w:t>
      </w:r>
    </w:p>
    <w:p w14:paraId="3FDC4258" w14:textId="77777777" w:rsidR="00C023D3" w:rsidRDefault="00C023D3" w:rsidP="00C023D3">
      <w:pPr>
        <w:pStyle w:val="ListParagraph"/>
        <w:numPr>
          <w:ilvl w:val="0"/>
          <w:numId w:val="27"/>
        </w:numPr>
        <w:rPr>
          <w:rFonts w:eastAsia="Times New Roman"/>
        </w:rPr>
      </w:pPr>
      <w:r w:rsidRPr="005C18F6">
        <w:rPr>
          <w:rFonts w:eastAsia="Times New Roman"/>
        </w:rPr>
        <w:t>Linking the existing SFI and new SGS IT systems is not straightforward and could push back launch dates.</w:t>
      </w:r>
    </w:p>
    <w:p w14:paraId="7FEA0899" w14:textId="77777777" w:rsidR="00C023D3" w:rsidRDefault="00C023D3" w:rsidP="00C023D3">
      <w:pPr>
        <w:pStyle w:val="ListParagraph"/>
        <w:numPr>
          <w:ilvl w:val="0"/>
          <w:numId w:val="27"/>
        </w:numPr>
        <w:rPr>
          <w:rFonts w:eastAsia="Times New Roman"/>
        </w:rPr>
      </w:pPr>
      <w:r w:rsidRPr="005C18F6">
        <w:rPr>
          <w:rFonts w:eastAsia="Times New Roman"/>
        </w:rPr>
        <w:t xml:space="preserve">Both the Review and AHW Grants new and have yet to be tested. </w:t>
      </w:r>
      <w:r>
        <w:rPr>
          <w:rFonts w:eastAsia="Times New Roman"/>
        </w:rPr>
        <w:t>We would like to monitor uptake in Year 1, and gradually introduce farmers to Pathway</w:t>
      </w:r>
      <w:r w:rsidRPr="005C18F6">
        <w:rPr>
          <w:rFonts w:eastAsia="Times New Roman"/>
        </w:rPr>
        <w:t xml:space="preserve">. </w:t>
      </w:r>
    </w:p>
    <w:p w14:paraId="5058E598" w14:textId="77777777" w:rsidR="00C023D3" w:rsidRDefault="00C023D3" w:rsidP="00C023D3">
      <w:pPr>
        <w:pStyle w:val="ListParagraph"/>
        <w:numPr>
          <w:ilvl w:val="0"/>
          <w:numId w:val="27"/>
        </w:numPr>
        <w:rPr>
          <w:rFonts w:eastAsia="Times New Roman"/>
        </w:rPr>
      </w:pPr>
      <w:r>
        <w:rPr>
          <w:rFonts w:eastAsia="Times New Roman"/>
        </w:rPr>
        <w:t xml:space="preserve">The </w:t>
      </w:r>
      <w:r w:rsidRPr="005C18F6">
        <w:rPr>
          <w:rFonts w:eastAsia="Times New Roman"/>
        </w:rPr>
        <w:t xml:space="preserve">Review will not be open to non-BPS recipients or the poultry sector in Year 1. </w:t>
      </w:r>
    </w:p>
    <w:p w14:paraId="7D6CD68D" w14:textId="77777777" w:rsidR="00C023D3" w:rsidRPr="006427E2" w:rsidRDefault="00C023D3" w:rsidP="00C023D3">
      <w:pPr>
        <w:pStyle w:val="ListParagraph"/>
        <w:rPr>
          <w:rFonts w:eastAsia="Times New Roman"/>
        </w:rPr>
      </w:pPr>
    </w:p>
    <w:p w14:paraId="536FD35C" w14:textId="77777777" w:rsidR="00C023D3" w:rsidRDefault="00C023D3" w:rsidP="00C023D3">
      <w:pPr>
        <w:rPr>
          <w:rFonts w:eastAsia="Times New Roman"/>
        </w:rPr>
      </w:pPr>
      <w:r>
        <w:rPr>
          <w:rFonts w:eastAsia="Times New Roman"/>
        </w:rPr>
        <w:t>In subsequent years, we are exploring whether to require farmers to have had an AHWR to be able to apply for a grant. We are also looking at whether vets’ grant recommendations discussed in the Review could be used to send an email prompt to a farmer to apply for a specific grant. We also plan to ask vets completing AHWRs to recommend items that should be added to grants list each year.</w:t>
      </w:r>
    </w:p>
    <w:p w14:paraId="040C5F3F" w14:textId="77777777" w:rsidR="00C023D3" w:rsidRPr="009B482A" w:rsidRDefault="00C023D3" w:rsidP="00C023D3">
      <w:pPr>
        <w:rPr>
          <w:rFonts w:eastAsia="Times New Roman"/>
        </w:rPr>
      </w:pPr>
      <w:r w:rsidRPr="00832A6E">
        <w:rPr>
          <w:rFonts w:eastAsia="Times New Roman"/>
          <w:b/>
          <w:bCs/>
        </w:rPr>
        <w:t xml:space="preserve">Whether we go with </w:t>
      </w:r>
      <w:r w:rsidRPr="00832A6E">
        <w:rPr>
          <w:rFonts w:eastAsia="Times New Roman"/>
          <w:b/>
          <w:bCs/>
          <w:u w:val="single"/>
        </w:rPr>
        <w:t>Option A or B</w:t>
      </w:r>
      <w:r w:rsidRPr="00832A6E">
        <w:rPr>
          <w:rFonts w:eastAsia="Times New Roman"/>
          <w:b/>
          <w:bCs/>
        </w:rPr>
        <w:t xml:space="preserve">, </w:t>
      </w:r>
      <w:r>
        <w:rPr>
          <w:rFonts w:eastAsia="Times New Roman"/>
          <w:b/>
          <w:bCs/>
        </w:rPr>
        <w:t>there would be no impact in our ability</w:t>
      </w:r>
      <w:r w:rsidRPr="00832A6E">
        <w:rPr>
          <w:rFonts w:eastAsia="Times New Roman"/>
          <w:b/>
          <w:bCs/>
        </w:rPr>
        <w:t xml:space="preserve"> to link grants to the AHWR as laid out above.</w:t>
      </w:r>
      <w:r>
        <w:rPr>
          <w:rFonts w:eastAsia="Times New Roman"/>
        </w:rPr>
        <w:t xml:space="preserve"> This is because the ‘link’ depends on linking the SFI and SGS IT systems rather than the grant schemes themselves.</w:t>
      </w:r>
    </w:p>
    <w:tbl>
      <w:tblPr>
        <w:tblStyle w:val="TableGrid"/>
        <w:tblW w:w="9067" w:type="dxa"/>
        <w:tblLook w:val="04A0" w:firstRow="1" w:lastRow="0" w:firstColumn="1" w:lastColumn="0" w:noHBand="0" w:noVBand="1"/>
      </w:tblPr>
      <w:tblGrid>
        <w:gridCol w:w="9067"/>
      </w:tblGrid>
      <w:tr w:rsidR="00C023D3" w14:paraId="6A4F23DD" w14:textId="77777777" w:rsidTr="00CC1430">
        <w:trPr>
          <w:trHeight w:val="436"/>
        </w:trPr>
        <w:tc>
          <w:tcPr>
            <w:tcW w:w="9067" w:type="dxa"/>
            <w:vMerge w:val="restart"/>
          </w:tcPr>
          <w:p w14:paraId="20F8ED8C" w14:textId="77777777" w:rsidR="00C023D3" w:rsidRDefault="00C023D3" w:rsidP="00CC1430">
            <w:r w:rsidRPr="00FE5189">
              <w:rPr>
                <w:b/>
                <w:bCs/>
              </w:rPr>
              <w:t>Comments / Questions</w:t>
            </w:r>
            <w:r>
              <w:rPr>
                <w:b/>
                <w:bCs/>
              </w:rPr>
              <w:t>:</w:t>
            </w:r>
          </w:p>
          <w:p w14:paraId="69AE99CC" w14:textId="5A2D6BFE" w:rsidR="006820D1" w:rsidRPr="006820D1" w:rsidRDefault="006820D1" w:rsidP="00CC1430">
            <w:pPr>
              <w:rPr>
                <w:rFonts w:ascii="OpenDyslexic 3" w:hAnsi="OpenDyslexic 3"/>
              </w:rPr>
            </w:pPr>
            <w:r w:rsidRPr="006820D1">
              <w:rPr>
                <w:rFonts w:ascii="OpenDyslexic 3" w:hAnsi="OpenDyslexic 3"/>
              </w:rPr>
              <w:t>Simplicity is best in this situation.</w:t>
            </w:r>
            <w:r>
              <w:rPr>
                <w:rFonts w:ascii="OpenDyslexic 3" w:hAnsi="OpenDyslexic 3"/>
              </w:rPr>
              <w:t xml:space="preserve"> Option B helps to ensure that all grant systems are kept up to date, and that there is no risk of diverging or overlapping lists causing confusion. By pinning grants to the AHWR we ensure that the shape and future of pathway is </w:t>
            </w:r>
            <w:proofErr w:type="gramStart"/>
            <w:r>
              <w:rPr>
                <w:rFonts w:ascii="OpenDyslexic 3" w:hAnsi="OpenDyslexic 3"/>
              </w:rPr>
              <w:t>retained</w:t>
            </w:r>
            <w:proofErr w:type="gramEnd"/>
            <w:r>
              <w:rPr>
                <w:rFonts w:ascii="OpenDyslexic 3" w:hAnsi="OpenDyslexic 3"/>
              </w:rPr>
              <w:t xml:space="preserve"> and it stands on its own identity. The veterinary input in applying for grants is integral to maintaining this identity. By giving vet and farmer the agency to agree priorities and to assess the likely health and welfare impact of capital investment, we can continue to demonstrate improvements in health and welfare through the grants system. It will be down to Defra to consider how to capture this evidence to continue to demonstrate to treasury the public good value of this investment. Just as with the review though, having the direct involvement of a regulated professional at the planning and application stage will help to add to the weight of that evidence.</w:t>
            </w:r>
            <w:r w:rsidRPr="006820D1">
              <w:rPr>
                <w:rFonts w:ascii="OpenDyslexic 3" w:hAnsi="OpenDyslexic 3"/>
              </w:rPr>
              <w:t xml:space="preserve"> </w:t>
            </w:r>
          </w:p>
        </w:tc>
      </w:tr>
      <w:tr w:rsidR="00C023D3" w14:paraId="520973B7" w14:textId="77777777" w:rsidTr="00CC1430">
        <w:trPr>
          <w:trHeight w:val="269"/>
        </w:trPr>
        <w:tc>
          <w:tcPr>
            <w:tcW w:w="9067" w:type="dxa"/>
            <w:vMerge/>
          </w:tcPr>
          <w:p w14:paraId="791FBFAE" w14:textId="77777777" w:rsidR="00C023D3" w:rsidRDefault="00C023D3" w:rsidP="00CC1430"/>
        </w:tc>
      </w:tr>
      <w:tr w:rsidR="00C023D3" w14:paraId="24E0C3E9" w14:textId="77777777" w:rsidTr="00CC1430">
        <w:trPr>
          <w:trHeight w:val="269"/>
        </w:trPr>
        <w:tc>
          <w:tcPr>
            <w:tcW w:w="9067" w:type="dxa"/>
            <w:vMerge/>
          </w:tcPr>
          <w:p w14:paraId="4FA916E9" w14:textId="77777777" w:rsidR="00C023D3" w:rsidRDefault="00C023D3" w:rsidP="00CC1430"/>
        </w:tc>
      </w:tr>
      <w:tr w:rsidR="00C023D3" w14:paraId="6FA0A827" w14:textId="77777777" w:rsidTr="00CC1430">
        <w:trPr>
          <w:trHeight w:val="269"/>
        </w:trPr>
        <w:tc>
          <w:tcPr>
            <w:tcW w:w="9067" w:type="dxa"/>
            <w:vMerge/>
          </w:tcPr>
          <w:p w14:paraId="5DC87E43" w14:textId="77777777" w:rsidR="00C023D3" w:rsidRDefault="00C023D3" w:rsidP="00CC1430"/>
        </w:tc>
      </w:tr>
    </w:tbl>
    <w:p w14:paraId="015FDBE1" w14:textId="77777777" w:rsidR="00C023D3" w:rsidRDefault="00C023D3" w:rsidP="00C023D3"/>
    <w:p w14:paraId="07AE9177" w14:textId="626D9432" w:rsidR="00337680" w:rsidRPr="005D3E84" w:rsidRDefault="00337680" w:rsidP="005D3E84">
      <w:pPr>
        <w:pStyle w:val="Heading3"/>
        <w:numPr>
          <w:ilvl w:val="1"/>
          <w:numId w:val="22"/>
        </w:numPr>
        <w:rPr>
          <w:rFonts w:eastAsia="Times New Roman"/>
        </w:rPr>
      </w:pPr>
      <w:r w:rsidRPr="005D3E84">
        <w:lastRenderedPageBreak/>
        <w:t xml:space="preserve">How </w:t>
      </w:r>
      <w:r w:rsidR="000E0001">
        <w:t>w</w:t>
      </w:r>
      <w:r w:rsidRPr="005D3E84">
        <w:t>ou</w:t>
      </w:r>
      <w:r w:rsidR="005C49E3">
        <w:t>ld</w:t>
      </w:r>
      <w:r w:rsidRPr="005D3E84">
        <w:t xml:space="preserve"> the </w:t>
      </w:r>
      <w:r w:rsidRPr="005D3E84">
        <w:rPr>
          <w:rFonts w:eastAsia="Times New Roman"/>
          <w:b/>
          <w:bCs/>
        </w:rPr>
        <w:t xml:space="preserve">Pathway’s identity </w:t>
      </w:r>
      <w:r w:rsidRPr="005D3E84">
        <w:rPr>
          <w:rFonts w:eastAsia="Times New Roman"/>
        </w:rPr>
        <w:t>be impacted</w:t>
      </w:r>
      <w:r w:rsidR="005C49E3">
        <w:rPr>
          <w:rFonts w:eastAsia="Times New Roman"/>
        </w:rPr>
        <w:t xml:space="preserve"> following integration, and what could be done to retain this?</w:t>
      </w:r>
    </w:p>
    <w:p w14:paraId="48F30600" w14:textId="1D182441" w:rsidR="00E169A0" w:rsidRDefault="002508D4" w:rsidP="005C49E3">
      <w:pPr>
        <w:rPr>
          <w:rFonts w:eastAsia="Times New Roman"/>
        </w:rPr>
      </w:pPr>
      <w:r>
        <w:rPr>
          <w:rFonts w:eastAsia="Times New Roman"/>
        </w:rPr>
        <w:t>A founding principle of the Pathway is to</w:t>
      </w:r>
      <w:r w:rsidR="005C49E3">
        <w:rPr>
          <w:rFonts w:eastAsia="Times New Roman"/>
        </w:rPr>
        <w:t xml:space="preserve"> </w:t>
      </w:r>
      <w:r>
        <w:rPr>
          <w:rFonts w:eastAsia="Times New Roman"/>
        </w:rPr>
        <w:t xml:space="preserve">take farmers on a gradual journey to build trust and deliver continual improvement in AHW. </w:t>
      </w:r>
      <w:r w:rsidR="00E169A0">
        <w:rPr>
          <w:rFonts w:eastAsia="Times New Roman"/>
        </w:rPr>
        <w:t xml:space="preserve">It is important that farmers </w:t>
      </w:r>
      <w:r>
        <w:rPr>
          <w:rFonts w:eastAsia="Times New Roman"/>
        </w:rPr>
        <w:t xml:space="preserve">understand the simple steps they need to take and </w:t>
      </w:r>
      <w:r w:rsidR="00E169A0">
        <w:rPr>
          <w:rFonts w:eastAsia="Times New Roman"/>
        </w:rPr>
        <w:t>are able to see how all the parts of the Pathway work together</w:t>
      </w:r>
      <w:r>
        <w:rPr>
          <w:rFonts w:eastAsia="Times New Roman"/>
        </w:rPr>
        <w:t xml:space="preserve">. We need a </w:t>
      </w:r>
      <w:r w:rsidR="00E169A0">
        <w:rPr>
          <w:rFonts w:eastAsia="Times New Roman"/>
        </w:rPr>
        <w:t xml:space="preserve">strong Pathway brand </w:t>
      </w:r>
      <w:r>
        <w:rPr>
          <w:rFonts w:eastAsia="Times New Roman"/>
        </w:rPr>
        <w:t>t</w:t>
      </w:r>
      <w:r w:rsidR="00E169A0">
        <w:rPr>
          <w:rFonts w:eastAsia="Times New Roman"/>
        </w:rPr>
        <w:t>o do this</w:t>
      </w:r>
      <w:r>
        <w:rPr>
          <w:rFonts w:eastAsia="Times New Roman"/>
        </w:rPr>
        <w:t>, which we have been working hard to build</w:t>
      </w:r>
      <w:r w:rsidR="00E169A0">
        <w:rPr>
          <w:rFonts w:eastAsia="Times New Roman"/>
        </w:rPr>
        <w:t xml:space="preserve">. </w:t>
      </w:r>
      <w:r w:rsidR="00180A93">
        <w:rPr>
          <w:rFonts w:eastAsia="Times New Roman"/>
        </w:rPr>
        <w:t>S</w:t>
      </w:r>
      <w:r w:rsidR="00180A93" w:rsidRPr="00180A93">
        <w:rPr>
          <w:rFonts w:eastAsia="Times New Roman"/>
        </w:rPr>
        <w:t xml:space="preserve">tandalone AHW </w:t>
      </w:r>
      <w:r w:rsidR="00180A93">
        <w:rPr>
          <w:rFonts w:eastAsia="Times New Roman"/>
        </w:rPr>
        <w:t>grants</w:t>
      </w:r>
      <w:r w:rsidR="00180A93">
        <w:rPr>
          <w:rFonts w:eastAsia="Times New Roman"/>
          <w:b/>
          <w:bCs/>
        </w:rPr>
        <w:t xml:space="preserve"> (</w:t>
      </w:r>
      <w:r w:rsidR="00E169A0" w:rsidRPr="00180A93">
        <w:rPr>
          <w:rFonts w:eastAsia="Times New Roman"/>
          <w:b/>
          <w:bCs/>
        </w:rPr>
        <w:t>Option</w:t>
      </w:r>
      <w:r w:rsidR="00180A93">
        <w:rPr>
          <w:rFonts w:eastAsia="Times New Roman"/>
          <w:b/>
          <w:bCs/>
        </w:rPr>
        <w:t xml:space="preserve"> A)</w:t>
      </w:r>
      <w:r w:rsidR="00E169A0" w:rsidRPr="00180A93">
        <w:rPr>
          <w:rFonts w:eastAsia="Times New Roman"/>
          <w:b/>
          <w:bCs/>
        </w:rPr>
        <w:t xml:space="preserve"> </w:t>
      </w:r>
      <w:r w:rsidR="00180A93" w:rsidRPr="00180A93">
        <w:rPr>
          <w:rFonts w:eastAsia="Times New Roman"/>
        </w:rPr>
        <w:t>can</w:t>
      </w:r>
      <w:r w:rsidR="00E169A0">
        <w:rPr>
          <w:rFonts w:eastAsia="Times New Roman"/>
        </w:rPr>
        <w:t xml:space="preserve"> eas</w:t>
      </w:r>
      <w:r w:rsidR="00180A93">
        <w:rPr>
          <w:rFonts w:eastAsia="Times New Roman"/>
        </w:rPr>
        <w:t>ily</w:t>
      </w:r>
      <w:r w:rsidR="00E169A0">
        <w:rPr>
          <w:rFonts w:eastAsia="Times New Roman"/>
        </w:rPr>
        <w:t xml:space="preserve"> </w:t>
      </w:r>
      <w:r w:rsidR="00180A93">
        <w:rPr>
          <w:rFonts w:eastAsia="Times New Roman"/>
        </w:rPr>
        <w:t>be</w:t>
      </w:r>
      <w:r w:rsidR="00E169A0">
        <w:rPr>
          <w:rFonts w:eastAsia="Times New Roman"/>
        </w:rPr>
        <w:t xml:space="preserve"> con</w:t>
      </w:r>
      <w:r w:rsidR="00180A93">
        <w:rPr>
          <w:rFonts w:eastAsia="Times New Roman"/>
        </w:rPr>
        <w:t xml:space="preserve">nected </w:t>
      </w:r>
      <w:r w:rsidR="00E169A0">
        <w:rPr>
          <w:rFonts w:eastAsia="Times New Roman"/>
        </w:rPr>
        <w:t>to the Pathway</w:t>
      </w:r>
      <w:r w:rsidR="00180A93">
        <w:rPr>
          <w:rFonts w:eastAsia="Times New Roman"/>
        </w:rPr>
        <w:t xml:space="preserve">. It is easy to </w:t>
      </w:r>
      <w:r w:rsidR="00E169A0">
        <w:rPr>
          <w:rFonts w:eastAsia="Times New Roman"/>
        </w:rPr>
        <w:t>clear</w:t>
      </w:r>
      <w:r>
        <w:rPr>
          <w:rFonts w:eastAsia="Times New Roman"/>
        </w:rPr>
        <w:t>ly</w:t>
      </w:r>
      <w:r w:rsidR="00E169A0">
        <w:rPr>
          <w:rFonts w:eastAsia="Times New Roman"/>
        </w:rPr>
        <w:t xml:space="preserve"> communicat</w:t>
      </w:r>
      <w:r>
        <w:rPr>
          <w:rFonts w:eastAsia="Times New Roman"/>
        </w:rPr>
        <w:t xml:space="preserve">e </w:t>
      </w:r>
      <w:r w:rsidR="00180A93">
        <w:rPr>
          <w:rFonts w:eastAsia="Times New Roman"/>
        </w:rPr>
        <w:t xml:space="preserve">how AHW grants </w:t>
      </w:r>
      <w:r w:rsidR="00E169A0">
        <w:rPr>
          <w:rFonts w:eastAsia="Times New Roman"/>
        </w:rPr>
        <w:t>fit</w:t>
      </w:r>
      <w:r w:rsidR="00180A93">
        <w:rPr>
          <w:rFonts w:eastAsia="Times New Roman"/>
        </w:rPr>
        <w:t xml:space="preserve"> </w:t>
      </w:r>
      <w:r>
        <w:rPr>
          <w:rFonts w:eastAsia="Times New Roman"/>
        </w:rPr>
        <w:t>as a ‘step’ to gradual continual improvement in AHW</w:t>
      </w:r>
      <w:r w:rsidR="00E169A0">
        <w:rPr>
          <w:rFonts w:eastAsia="Times New Roman"/>
        </w:rPr>
        <w:t>.</w:t>
      </w:r>
    </w:p>
    <w:p w14:paraId="6ECADC52" w14:textId="54ACC118" w:rsidR="00C023D3" w:rsidRDefault="002508D4" w:rsidP="005C49E3">
      <w:pPr>
        <w:rPr>
          <w:rFonts w:eastAsia="Times New Roman"/>
        </w:rPr>
      </w:pPr>
      <w:r>
        <w:rPr>
          <w:rFonts w:eastAsia="Times New Roman"/>
        </w:rPr>
        <w:t xml:space="preserve">However, </w:t>
      </w:r>
      <w:r>
        <w:rPr>
          <w:rFonts w:eastAsia="Times New Roman"/>
          <w:b/>
          <w:bCs/>
        </w:rPr>
        <w:t>Option B</w:t>
      </w:r>
      <w:r>
        <w:rPr>
          <w:rFonts w:eastAsia="Times New Roman"/>
        </w:rPr>
        <w:t xml:space="preserve"> risks diluting</w:t>
      </w:r>
      <w:r w:rsidR="00CA524C">
        <w:rPr>
          <w:rFonts w:eastAsia="Times New Roman"/>
        </w:rPr>
        <w:t xml:space="preserve"> the</w:t>
      </w:r>
      <w:r>
        <w:rPr>
          <w:rFonts w:eastAsia="Times New Roman"/>
        </w:rPr>
        <w:t xml:space="preserve"> Pathway</w:t>
      </w:r>
      <w:r w:rsidR="00CA524C">
        <w:rPr>
          <w:rFonts w:eastAsia="Times New Roman"/>
        </w:rPr>
        <w:t>’s</w:t>
      </w:r>
      <w:r>
        <w:rPr>
          <w:rFonts w:eastAsia="Times New Roman"/>
        </w:rPr>
        <w:t xml:space="preserve"> identi</w:t>
      </w:r>
      <w:r w:rsidR="00CA524C">
        <w:rPr>
          <w:rFonts w:eastAsia="Times New Roman"/>
        </w:rPr>
        <w:t>t</w:t>
      </w:r>
      <w:r>
        <w:rPr>
          <w:rFonts w:eastAsia="Times New Roman"/>
        </w:rPr>
        <w:t xml:space="preserve">y as AHW items would be integrated under the Farming Investment Fund ‘brand’. </w:t>
      </w:r>
      <w:r w:rsidR="00C023D3">
        <w:rPr>
          <w:rFonts w:eastAsia="Times New Roman"/>
        </w:rPr>
        <w:t xml:space="preserve">This risk is something we already have to manage for other parts of the Pathway, with the Review being delivered as part of SFI (and potentially </w:t>
      </w:r>
      <w:proofErr w:type="spellStart"/>
      <w:r w:rsidR="00C023D3">
        <w:rPr>
          <w:rFonts w:eastAsia="Times New Roman"/>
        </w:rPr>
        <w:t>PbR</w:t>
      </w:r>
      <w:proofErr w:type="spellEnd"/>
      <w:r w:rsidR="00C023D3">
        <w:rPr>
          <w:rFonts w:eastAsia="Times New Roman"/>
        </w:rPr>
        <w:t xml:space="preserve"> too). </w:t>
      </w:r>
      <w:r w:rsidR="00CA524C">
        <w:rPr>
          <w:rFonts w:eastAsia="Times New Roman"/>
        </w:rPr>
        <w:t xml:space="preserve">We think this can risk can be partially mitigated. </w:t>
      </w:r>
      <w:r w:rsidR="00C023D3">
        <w:rPr>
          <w:rFonts w:eastAsia="Times New Roman"/>
        </w:rPr>
        <w:t xml:space="preserve">For example, in FETF, we would be able to label each AHW item, so that farmers can see which are part of the Pathway and deliver our sector priorities. On gov.uk we would need to have a clear landing page for the Pathway - something we should have after the announcement – which provides links through to each part of the Pathway. We would need ensure that the Pathway features significantly in any future communications on FIF. </w:t>
      </w:r>
    </w:p>
    <w:p w14:paraId="3043F9FE" w14:textId="3C8F2C3C" w:rsidR="002508D4" w:rsidRPr="002508D4" w:rsidRDefault="00C023D3" w:rsidP="005C49E3">
      <w:pPr>
        <w:rPr>
          <w:rFonts w:eastAsia="Times New Roman"/>
        </w:rPr>
      </w:pPr>
      <w:r>
        <w:rPr>
          <w:rFonts w:eastAsia="Times New Roman"/>
        </w:rPr>
        <w:t>Ultimately, w</w:t>
      </w:r>
      <w:r w:rsidR="00CA524C">
        <w:rPr>
          <w:rFonts w:eastAsia="Times New Roman"/>
        </w:rPr>
        <w:t>e need to decide how this risk</w:t>
      </w:r>
      <w:r>
        <w:rPr>
          <w:rFonts w:eastAsia="Times New Roman"/>
        </w:rPr>
        <w:t xml:space="preserve"> of diluting the Pathway’s identity</w:t>
      </w:r>
      <w:r w:rsidR="00CA524C">
        <w:rPr>
          <w:rFonts w:eastAsia="Times New Roman"/>
        </w:rPr>
        <w:t xml:space="preserve"> weighs up against reduc</w:t>
      </w:r>
      <w:r w:rsidR="005B2E51">
        <w:rPr>
          <w:rFonts w:eastAsia="Times New Roman"/>
        </w:rPr>
        <w:t>ing</w:t>
      </w:r>
      <w:r w:rsidR="00CA524C">
        <w:rPr>
          <w:rFonts w:eastAsia="Times New Roman"/>
        </w:rPr>
        <w:t xml:space="preserve"> </w:t>
      </w:r>
      <w:r>
        <w:rPr>
          <w:rFonts w:eastAsia="Times New Roman"/>
        </w:rPr>
        <w:t xml:space="preserve">the </w:t>
      </w:r>
      <w:r w:rsidR="00CA524C">
        <w:rPr>
          <w:rFonts w:eastAsia="Times New Roman"/>
        </w:rPr>
        <w:t>administrative burden for farmers</w:t>
      </w:r>
      <w:r w:rsidR="005B2E51">
        <w:rPr>
          <w:rFonts w:eastAsia="Times New Roman"/>
        </w:rPr>
        <w:t xml:space="preserve"> (through a simple user journey</w:t>
      </w:r>
      <w:r>
        <w:rPr>
          <w:rFonts w:eastAsia="Times New Roman"/>
        </w:rPr>
        <w:t xml:space="preserve"> </w:t>
      </w:r>
      <w:r w:rsidR="005B2E51">
        <w:rPr>
          <w:rFonts w:eastAsia="Times New Roman"/>
        </w:rPr>
        <w:t xml:space="preserve">- </w:t>
      </w:r>
      <w:r w:rsidR="00CA524C">
        <w:rPr>
          <w:rFonts w:eastAsia="Times New Roman"/>
        </w:rPr>
        <w:t>one integrated</w:t>
      </w:r>
      <w:r w:rsidR="002508D4">
        <w:rPr>
          <w:rFonts w:eastAsia="Times New Roman"/>
        </w:rPr>
        <w:t xml:space="preserve"> </w:t>
      </w:r>
      <w:r w:rsidR="00CA524C">
        <w:rPr>
          <w:rFonts w:eastAsia="Times New Roman"/>
        </w:rPr>
        <w:t>lis</w:t>
      </w:r>
      <w:r>
        <w:rPr>
          <w:rFonts w:eastAsia="Times New Roman"/>
        </w:rPr>
        <w:t>t</w:t>
      </w:r>
      <w:r w:rsidR="00CA524C">
        <w:rPr>
          <w:rFonts w:eastAsia="Times New Roman"/>
        </w:rPr>
        <w:t>, and common application process</w:t>
      </w:r>
      <w:r>
        <w:rPr>
          <w:rFonts w:eastAsia="Times New Roman"/>
        </w:rPr>
        <w:t xml:space="preserve">). </w:t>
      </w:r>
    </w:p>
    <w:p w14:paraId="436377A8" w14:textId="64D5A2A8" w:rsidR="00E169A0" w:rsidRDefault="00E169A0" w:rsidP="00E169A0">
      <w:pPr>
        <w:shd w:val="clear" w:color="auto" w:fill="E2EFD9" w:themeFill="accent6" w:themeFillTint="33"/>
        <w:spacing w:after="0"/>
      </w:pPr>
      <w:r w:rsidRPr="009D604D">
        <w:rPr>
          <w:b/>
          <w:bCs/>
        </w:rPr>
        <w:t>Option A – Standalone AHW grants:</w:t>
      </w:r>
      <w:r>
        <w:t xml:space="preserve"> </w:t>
      </w:r>
      <w:r w:rsidR="00180A93">
        <w:t>easy to identify that this is part of the Pathway</w:t>
      </w:r>
    </w:p>
    <w:p w14:paraId="5BD397AB" w14:textId="77777777" w:rsidR="00E169A0" w:rsidRPr="0050065C" w:rsidRDefault="00E169A0" w:rsidP="00E169A0">
      <w:pPr>
        <w:pStyle w:val="ListParagraph"/>
        <w:ind w:left="360"/>
      </w:pPr>
      <w:r w:rsidRPr="0050065C">
        <w:t xml:space="preserve">                                                                                                                                                                                                                                                                                                                                                                                                                                                                                     </w:t>
      </w:r>
    </w:p>
    <w:p w14:paraId="5FF8317D" w14:textId="4D8A7A23" w:rsidR="00E169A0" w:rsidRDefault="00E169A0" w:rsidP="00911549">
      <w:pPr>
        <w:shd w:val="clear" w:color="auto" w:fill="DEEAF6" w:themeFill="accent5" w:themeFillTint="33"/>
        <w:spacing w:after="0"/>
      </w:pPr>
      <w:r w:rsidRPr="00FE5189">
        <w:rPr>
          <w:b/>
          <w:bCs/>
        </w:rPr>
        <w:t>Option B – AHW Integrated with FIF:</w:t>
      </w:r>
      <w:r>
        <w:t xml:space="preserve"> </w:t>
      </w:r>
      <w:r w:rsidR="00911549">
        <w:t xml:space="preserve">hardier to identify how FIF fits with the Pathway. Proactive engagement and clear communications could mitigate some if this. </w:t>
      </w:r>
    </w:p>
    <w:p w14:paraId="3EADAF05" w14:textId="10A527F4" w:rsidR="00B606D3" w:rsidRDefault="00B606D3" w:rsidP="00911549">
      <w:pPr>
        <w:pStyle w:val="NoSpacing"/>
        <w:rPr>
          <w:b/>
          <w:bCs/>
          <w:color w:val="FF0000"/>
        </w:rPr>
      </w:pPr>
    </w:p>
    <w:tbl>
      <w:tblPr>
        <w:tblStyle w:val="TableGrid"/>
        <w:tblW w:w="9067" w:type="dxa"/>
        <w:tblLook w:val="04A0" w:firstRow="1" w:lastRow="0" w:firstColumn="1" w:lastColumn="0" w:noHBand="0" w:noVBand="1"/>
      </w:tblPr>
      <w:tblGrid>
        <w:gridCol w:w="1555"/>
        <w:gridCol w:w="567"/>
        <w:gridCol w:w="6945"/>
      </w:tblGrid>
      <w:tr w:rsidR="00911549" w14:paraId="03F0DAF4" w14:textId="77777777" w:rsidTr="00E72D7E">
        <w:tc>
          <w:tcPr>
            <w:tcW w:w="1555" w:type="dxa"/>
          </w:tcPr>
          <w:p w14:paraId="415B4E43" w14:textId="77777777" w:rsidR="00911549" w:rsidRPr="003A01CA" w:rsidRDefault="00911549" w:rsidP="00E72D7E">
            <w:pPr>
              <w:rPr>
                <w:b/>
                <w:bCs/>
              </w:rPr>
            </w:pPr>
            <w:r w:rsidRPr="003A01CA">
              <w:rPr>
                <w:b/>
                <w:bCs/>
              </w:rPr>
              <w:t>Option A</w:t>
            </w:r>
          </w:p>
        </w:tc>
        <w:tc>
          <w:tcPr>
            <w:tcW w:w="567" w:type="dxa"/>
            <w:tcBorders>
              <w:right w:val="single" w:sz="4" w:space="0" w:color="auto"/>
            </w:tcBorders>
          </w:tcPr>
          <w:p w14:paraId="66D625A5" w14:textId="77777777" w:rsidR="00911549" w:rsidRDefault="00911549" w:rsidP="00E72D7E"/>
        </w:tc>
        <w:tc>
          <w:tcPr>
            <w:tcW w:w="6945" w:type="dxa"/>
            <w:vMerge w:val="restart"/>
            <w:tcBorders>
              <w:top w:val="single" w:sz="4" w:space="0" w:color="auto"/>
              <w:left w:val="single" w:sz="4" w:space="0" w:color="auto"/>
              <w:bottom w:val="single" w:sz="4" w:space="0" w:color="auto"/>
              <w:right w:val="single" w:sz="4" w:space="0" w:color="auto"/>
            </w:tcBorders>
          </w:tcPr>
          <w:p w14:paraId="6519E328" w14:textId="77777777" w:rsidR="00ED1AF4" w:rsidRDefault="00911549" w:rsidP="00E72D7E">
            <w:pPr>
              <w:rPr>
                <w:b/>
                <w:bCs/>
              </w:rPr>
            </w:pPr>
            <w:r w:rsidRPr="00FE5189">
              <w:rPr>
                <w:b/>
                <w:bCs/>
              </w:rPr>
              <w:t>Comments / Questions</w:t>
            </w:r>
            <w:r>
              <w:rPr>
                <w:b/>
                <w:bCs/>
              </w:rPr>
              <w:t>:</w:t>
            </w:r>
            <w:r w:rsidR="00ED1AF4">
              <w:rPr>
                <w:b/>
                <w:bCs/>
              </w:rPr>
              <w:t xml:space="preserve"> </w:t>
            </w:r>
          </w:p>
          <w:p w14:paraId="406F2BD2" w14:textId="1CDBEB8E" w:rsidR="00911549" w:rsidRPr="00ED1AF4" w:rsidRDefault="00ED1AF4" w:rsidP="00E72D7E">
            <w:pPr>
              <w:rPr>
                <w:rFonts w:ascii="OpenDyslexic 3" w:hAnsi="OpenDyslexic 3"/>
              </w:rPr>
            </w:pPr>
            <w:r w:rsidRPr="00ED1AF4">
              <w:rPr>
                <w:rFonts w:ascii="OpenDyslexic 3" w:hAnsi="OpenDyslexic 3"/>
              </w:rPr>
              <w:t xml:space="preserve">see </w:t>
            </w:r>
            <w:r>
              <w:rPr>
                <w:rFonts w:ascii="OpenDyslexic 3" w:hAnsi="OpenDyslexic 3"/>
              </w:rPr>
              <w:t xml:space="preserve">box </w:t>
            </w:r>
            <w:r w:rsidRPr="00ED1AF4">
              <w:rPr>
                <w:rFonts w:ascii="OpenDyslexic 3" w:hAnsi="OpenDyslexic 3"/>
              </w:rPr>
              <w:t>above</w:t>
            </w:r>
            <w:r>
              <w:rPr>
                <w:rFonts w:ascii="OpenDyslexic 3" w:hAnsi="OpenDyslexic 3"/>
              </w:rPr>
              <w:t xml:space="preserve"> </w:t>
            </w:r>
          </w:p>
        </w:tc>
      </w:tr>
      <w:tr w:rsidR="00911549" w14:paraId="6BB46C6A" w14:textId="77777777" w:rsidTr="00E72D7E">
        <w:tc>
          <w:tcPr>
            <w:tcW w:w="1555" w:type="dxa"/>
          </w:tcPr>
          <w:p w14:paraId="4A0C76F1" w14:textId="77777777" w:rsidR="00911549" w:rsidRPr="003A01CA" w:rsidRDefault="00911549" w:rsidP="00E72D7E">
            <w:pPr>
              <w:rPr>
                <w:b/>
                <w:bCs/>
              </w:rPr>
            </w:pPr>
            <w:r w:rsidRPr="003A01CA">
              <w:rPr>
                <w:b/>
                <w:bCs/>
              </w:rPr>
              <w:t>Option B</w:t>
            </w:r>
          </w:p>
        </w:tc>
        <w:tc>
          <w:tcPr>
            <w:tcW w:w="567" w:type="dxa"/>
            <w:tcBorders>
              <w:right w:val="single" w:sz="4" w:space="0" w:color="auto"/>
            </w:tcBorders>
          </w:tcPr>
          <w:p w14:paraId="5B3BCD25" w14:textId="33A8E401" w:rsidR="00911549" w:rsidRDefault="00ED1AF4" w:rsidP="00E72D7E">
            <w:r>
              <w:t>X</w:t>
            </w:r>
          </w:p>
        </w:tc>
        <w:tc>
          <w:tcPr>
            <w:tcW w:w="6945" w:type="dxa"/>
            <w:vMerge/>
            <w:tcBorders>
              <w:top w:val="single" w:sz="4" w:space="0" w:color="auto"/>
              <w:left w:val="single" w:sz="4" w:space="0" w:color="auto"/>
              <w:bottom w:val="single" w:sz="4" w:space="0" w:color="auto"/>
              <w:right w:val="single" w:sz="4" w:space="0" w:color="auto"/>
            </w:tcBorders>
          </w:tcPr>
          <w:p w14:paraId="2039FD3A" w14:textId="77777777" w:rsidR="00911549" w:rsidRDefault="00911549" w:rsidP="00E72D7E"/>
        </w:tc>
      </w:tr>
      <w:tr w:rsidR="00911549" w14:paraId="38A261CE" w14:textId="77777777" w:rsidTr="00E72D7E">
        <w:tc>
          <w:tcPr>
            <w:tcW w:w="1555" w:type="dxa"/>
          </w:tcPr>
          <w:p w14:paraId="03B01041" w14:textId="77777777" w:rsidR="00911549" w:rsidRPr="003A01CA" w:rsidRDefault="00911549" w:rsidP="00E72D7E">
            <w:pPr>
              <w:rPr>
                <w:b/>
                <w:bCs/>
              </w:rPr>
            </w:pPr>
            <w:r w:rsidRPr="003A01CA">
              <w:rPr>
                <w:b/>
                <w:bCs/>
              </w:rPr>
              <w:t xml:space="preserve">No </w:t>
            </w:r>
            <w:r>
              <w:rPr>
                <w:b/>
                <w:bCs/>
              </w:rPr>
              <w:t>p</w:t>
            </w:r>
            <w:r w:rsidRPr="003A01CA">
              <w:rPr>
                <w:b/>
                <w:bCs/>
              </w:rPr>
              <w:t>reference</w:t>
            </w:r>
          </w:p>
        </w:tc>
        <w:tc>
          <w:tcPr>
            <w:tcW w:w="567" w:type="dxa"/>
            <w:tcBorders>
              <w:right w:val="single" w:sz="4" w:space="0" w:color="auto"/>
            </w:tcBorders>
          </w:tcPr>
          <w:p w14:paraId="146C36E7" w14:textId="77777777" w:rsidR="00911549" w:rsidRDefault="00911549" w:rsidP="00E72D7E"/>
        </w:tc>
        <w:tc>
          <w:tcPr>
            <w:tcW w:w="6945" w:type="dxa"/>
            <w:vMerge/>
            <w:tcBorders>
              <w:top w:val="single" w:sz="4" w:space="0" w:color="auto"/>
              <w:left w:val="single" w:sz="4" w:space="0" w:color="auto"/>
              <w:bottom w:val="single" w:sz="4" w:space="0" w:color="auto"/>
              <w:right w:val="single" w:sz="4" w:space="0" w:color="auto"/>
            </w:tcBorders>
          </w:tcPr>
          <w:p w14:paraId="1682F29E" w14:textId="77777777" w:rsidR="00911549" w:rsidRDefault="00911549" w:rsidP="00E72D7E"/>
        </w:tc>
      </w:tr>
      <w:tr w:rsidR="00911549" w14:paraId="6134FE7C" w14:textId="77777777" w:rsidTr="00E72D7E">
        <w:tc>
          <w:tcPr>
            <w:tcW w:w="1555" w:type="dxa"/>
          </w:tcPr>
          <w:p w14:paraId="488EDD79" w14:textId="77777777" w:rsidR="00911549" w:rsidRPr="003A01CA" w:rsidRDefault="00911549" w:rsidP="00E72D7E">
            <w:pPr>
              <w:rPr>
                <w:b/>
                <w:bCs/>
              </w:rPr>
            </w:pPr>
            <w:r>
              <w:rPr>
                <w:b/>
                <w:bCs/>
              </w:rPr>
              <w:t>Don’t know</w:t>
            </w:r>
          </w:p>
        </w:tc>
        <w:tc>
          <w:tcPr>
            <w:tcW w:w="567" w:type="dxa"/>
            <w:tcBorders>
              <w:right w:val="single" w:sz="4" w:space="0" w:color="auto"/>
            </w:tcBorders>
          </w:tcPr>
          <w:p w14:paraId="2BD3494B" w14:textId="77777777" w:rsidR="00911549" w:rsidRDefault="00911549" w:rsidP="00E72D7E"/>
        </w:tc>
        <w:tc>
          <w:tcPr>
            <w:tcW w:w="6945" w:type="dxa"/>
            <w:vMerge/>
            <w:tcBorders>
              <w:top w:val="single" w:sz="4" w:space="0" w:color="auto"/>
              <w:left w:val="single" w:sz="4" w:space="0" w:color="auto"/>
              <w:bottom w:val="single" w:sz="4" w:space="0" w:color="auto"/>
              <w:right w:val="single" w:sz="4" w:space="0" w:color="auto"/>
            </w:tcBorders>
          </w:tcPr>
          <w:p w14:paraId="63AF9005" w14:textId="77777777" w:rsidR="00911549" w:rsidRDefault="00911549" w:rsidP="00E72D7E"/>
        </w:tc>
      </w:tr>
    </w:tbl>
    <w:p w14:paraId="2AFA72F0" w14:textId="77777777" w:rsidR="00911549" w:rsidRPr="00337680" w:rsidRDefault="00911549" w:rsidP="00911549">
      <w:pPr>
        <w:pStyle w:val="NoSpacing"/>
      </w:pPr>
    </w:p>
    <w:p w14:paraId="587C462D" w14:textId="2CB83A80" w:rsidR="00337680" w:rsidRPr="001F7F9F" w:rsidRDefault="00337680" w:rsidP="005D3E84">
      <w:pPr>
        <w:pStyle w:val="Heading3"/>
        <w:numPr>
          <w:ilvl w:val="1"/>
          <w:numId w:val="22"/>
        </w:numPr>
        <w:rPr>
          <w:i/>
          <w:iCs/>
        </w:rPr>
      </w:pPr>
      <w:r w:rsidRPr="00337680">
        <w:t>Future Farming grant offers have different</w:t>
      </w:r>
      <w:r w:rsidRPr="00337680">
        <w:rPr>
          <w:b/>
          <w:bCs/>
        </w:rPr>
        <w:t xml:space="preserve"> timescales</w:t>
      </w:r>
      <w:r w:rsidRPr="00337680">
        <w:t xml:space="preserve"> – the Pathway is longer term, whilst e.g., slurry, is shorter term. How does work following integration?</w:t>
      </w:r>
    </w:p>
    <w:p w14:paraId="13F96E48" w14:textId="2AC3FEFF" w:rsidR="00337680" w:rsidRDefault="007A79A5" w:rsidP="009B482A">
      <w:pPr>
        <w:pStyle w:val="NoSpacing"/>
      </w:pPr>
      <w:r>
        <w:t xml:space="preserve">The </w:t>
      </w:r>
      <w:hyperlink r:id="rId13" w:history="1">
        <w:r w:rsidRPr="00C01F85">
          <w:rPr>
            <w:rStyle w:val="Hyperlink"/>
          </w:rPr>
          <w:t>Agricultural Transition Plan</w:t>
        </w:r>
      </w:hyperlink>
      <w:r>
        <w:t xml:space="preserve"> sets out funding from 2021/22 – 2028/29. No commitments have been made beyond this, even though the Pathway is planned to run longer-term. </w:t>
      </w:r>
      <w:r w:rsidR="00337680">
        <w:t xml:space="preserve">AHW grants </w:t>
      </w:r>
      <w:r w:rsidR="00C01F85">
        <w:t xml:space="preserve">will </w:t>
      </w:r>
      <w:r w:rsidR="00337680">
        <w:t xml:space="preserve">run from </w:t>
      </w:r>
      <w:r w:rsidR="00337680" w:rsidRPr="001F7F9F">
        <w:rPr>
          <w:b/>
          <w:bCs/>
        </w:rPr>
        <w:t>22/23 to</w:t>
      </w:r>
      <w:r w:rsidR="00C01F85">
        <w:rPr>
          <w:b/>
          <w:bCs/>
        </w:rPr>
        <w:t xml:space="preserve"> at least</w:t>
      </w:r>
      <w:r w:rsidR="00337680" w:rsidRPr="001F7F9F">
        <w:rPr>
          <w:b/>
          <w:bCs/>
        </w:rPr>
        <w:t xml:space="preserve"> 28/29</w:t>
      </w:r>
      <w:r w:rsidR="0006142C">
        <w:rPr>
          <w:b/>
          <w:bCs/>
        </w:rPr>
        <w:t>,</w:t>
      </w:r>
      <w:r w:rsidR="00337680">
        <w:t xml:space="preserve"> </w:t>
      </w:r>
      <w:r w:rsidR="0006142C">
        <w:t>w</w:t>
      </w:r>
      <w:r w:rsidR="00C01F85">
        <w:t xml:space="preserve">hile </w:t>
      </w:r>
      <w:r>
        <w:t>FIF</w:t>
      </w:r>
      <w:r w:rsidR="00C01F85">
        <w:t xml:space="preserve"> </w:t>
      </w:r>
      <w:r w:rsidR="004D7DA1">
        <w:t xml:space="preserve">has confirmed funding </w:t>
      </w:r>
      <w:r w:rsidR="00C01F85">
        <w:t xml:space="preserve">from </w:t>
      </w:r>
      <w:r w:rsidR="00C01F85" w:rsidRPr="0006142C">
        <w:rPr>
          <w:b/>
          <w:bCs/>
        </w:rPr>
        <w:t>21/22 to at least 25/26</w:t>
      </w:r>
      <w:r w:rsidR="009B482A">
        <w:t xml:space="preserve"> b</w:t>
      </w:r>
      <w:r w:rsidR="0006142C">
        <w:t>ut</w:t>
      </w:r>
      <w:r w:rsidR="009B482A">
        <w:t xml:space="preserve"> may be extended beyond. If FIF does close in 25/26, </w:t>
      </w:r>
      <w:r w:rsidR="009B482A" w:rsidRPr="009B482A">
        <w:rPr>
          <w:b/>
          <w:bCs/>
        </w:rPr>
        <w:t>Option A</w:t>
      </w:r>
      <w:r w:rsidR="009B482A">
        <w:t xml:space="preserve"> is ‘cleaner’ with the FIF scheme closing. </w:t>
      </w:r>
      <w:r w:rsidR="0006142C">
        <w:t>I</w:t>
      </w:r>
      <w:r w:rsidR="009B482A">
        <w:t xml:space="preserve">n </w:t>
      </w:r>
      <w:r w:rsidR="009B482A">
        <w:rPr>
          <w:b/>
          <w:bCs/>
        </w:rPr>
        <w:t>Option B</w:t>
      </w:r>
      <w:r w:rsidR="009B482A">
        <w:t>, productivity items / themes could be removed from FIF</w:t>
      </w:r>
      <w:r w:rsidR="0006142C">
        <w:t xml:space="preserve"> with the AHW offer continuing</w:t>
      </w:r>
      <w:r w:rsidR="009B482A">
        <w:t xml:space="preserve">. </w:t>
      </w:r>
    </w:p>
    <w:p w14:paraId="391B3AD2" w14:textId="77777777" w:rsidR="009B482A" w:rsidRDefault="009B482A" w:rsidP="009B482A">
      <w:pPr>
        <w:pStyle w:val="NoSpacing"/>
      </w:pPr>
    </w:p>
    <w:p w14:paraId="038201D6" w14:textId="0836DBE0" w:rsidR="004D7DA1" w:rsidRDefault="004D7DA1" w:rsidP="004D7DA1">
      <w:pPr>
        <w:shd w:val="clear" w:color="auto" w:fill="E2EFD9" w:themeFill="accent6" w:themeFillTint="33"/>
        <w:spacing w:after="0"/>
      </w:pPr>
      <w:r w:rsidRPr="009D604D">
        <w:rPr>
          <w:b/>
          <w:bCs/>
        </w:rPr>
        <w:t>Option A – Standalone AHW grants:</w:t>
      </w:r>
      <w:r>
        <w:t xml:space="preserve"> </w:t>
      </w:r>
      <w:r w:rsidRPr="004D7DA1">
        <w:rPr>
          <w:i/>
          <w:iCs/>
        </w:rPr>
        <w:t>(Assuming</w:t>
      </w:r>
      <w:r>
        <w:rPr>
          <w:i/>
          <w:iCs/>
        </w:rPr>
        <w:t xml:space="preserve"> FIF</w:t>
      </w:r>
      <w:r w:rsidRPr="004D7DA1">
        <w:rPr>
          <w:i/>
          <w:iCs/>
        </w:rPr>
        <w:t xml:space="preserve"> productivity grant </w:t>
      </w:r>
      <w:r>
        <w:rPr>
          <w:i/>
          <w:iCs/>
        </w:rPr>
        <w:t>funding ends</w:t>
      </w:r>
      <w:r w:rsidRPr="004D7DA1">
        <w:rPr>
          <w:i/>
          <w:iCs/>
        </w:rPr>
        <w:t xml:space="preserve"> in 25/26)</w:t>
      </w:r>
    </w:p>
    <w:p w14:paraId="2D8D3002" w14:textId="01452E3E" w:rsidR="004D7DA1" w:rsidRPr="0050065C" w:rsidRDefault="004D7DA1" w:rsidP="004D7DA1">
      <w:pPr>
        <w:pStyle w:val="ListParagraph"/>
        <w:numPr>
          <w:ilvl w:val="0"/>
          <w:numId w:val="23"/>
        </w:numPr>
        <w:shd w:val="clear" w:color="auto" w:fill="E2EFD9" w:themeFill="accent6" w:themeFillTint="33"/>
        <w:rPr>
          <w:i/>
          <w:iCs/>
        </w:rPr>
      </w:pPr>
      <w:r w:rsidRPr="0050065C">
        <w:rPr>
          <w:i/>
          <w:iCs/>
        </w:rPr>
        <w:t xml:space="preserve">Small: </w:t>
      </w:r>
      <w:r>
        <w:t>FETF would close in 25/26, and AHW small grants would remain open</w:t>
      </w:r>
    </w:p>
    <w:p w14:paraId="1C777839" w14:textId="406C8A15" w:rsidR="004D7DA1" w:rsidRDefault="004D7DA1" w:rsidP="004D7DA1">
      <w:pPr>
        <w:pStyle w:val="ListParagraph"/>
        <w:numPr>
          <w:ilvl w:val="0"/>
          <w:numId w:val="23"/>
        </w:numPr>
        <w:shd w:val="clear" w:color="auto" w:fill="E2EFD9" w:themeFill="accent6" w:themeFillTint="33"/>
      </w:pPr>
      <w:r w:rsidRPr="0050065C">
        <w:rPr>
          <w:i/>
          <w:iCs/>
        </w:rPr>
        <w:t xml:space="preserve">Large: </w:t>
      </w:r>
      <w:r>
        <w:t>FTF would close in 25/26, and AHW large grants would remain open</w:t>
      </w:r>
    </w:p>
    <w:p w14:paraId="2E4BDEBA" w14:textId="77777777" w:rsidR="004D7DA1" w:rsidRDefault="004D7DA1" w:rsidP="004D7DA1">
      <w:pPr>
        <w:spacing w:after="0"/>
      </w:pPr>
    </w:p>
    <w:p w14:paraId="2FAC4C01" w14:textId="4583E345" w:rsidR="004D7DA1" w:rsidRDefault="004D7DA1" w:rsidP="004D7DA1">
      <w:pPr>
        <w:shd w:val="clear" w:color="auto" w:fill="DEEAF6" w:themeFill="accent5" w:themeFillTint="33"/>
        <w:spacing w:after="0"/>
      </w:pPr>
      <w:r w:rsidRPr="00FE5189">
        <w:rPr>
          <w:b/>
          <w:bCs/>
        </w:rPr>
        <w:t>Option B – AHW Integrated with FIF:</w:t>
      </w:r>
      <w:r>
        <w:t xml:space="preserve"> </w:t>
      </w:r>
      <w:r w:rsidRPr="004D7DA1">
        <w:rPr>
          <w:i/>
          <w:iCs/>
        </w:rPr>
        <w:t>(Assuming productivity grants end in 25/26)</w:t>
      </w:r>
    </w:p>
    <w:p w14:paraId="7FEC924F" w14:textId="0E918E22" w:rsidR="004D7DA1" w:rsidRDefault="004D7DA1" w:rsidP="004D7DA1">
      <w:pPr>
        <w:pStyle w:val="ListParagraph"/>
        <w:numPr>
          <w:ilvl w:val="0"/>
          <w:numId w:val="23"/>
        </w:numPr>
        <w:shd w:val="clear" w:color="auto" w:fill="DEEAF6" w:themeFill="accent5" w:themeFillTint="33"/>
      </w:pPr>
      <w:r w:rsidRPr="0050065C">
        <w:rPr>
          <w:i/>
          <w:iCs/>
        </w:rPr>
        <w:t>Small:</w:t>
      </w:r>
      <w:r>
        <w:t xml:space="preserve"> FETF would remain open but productivity items would be removed from the list</w:t>
      </w:r>
    </w:p>
    <w:p w14:paraId="01067550" w14:textId="3379677B" w:rsidR="004D7DA1" w:rsidRDefault="004D7DA1" w:rsidP="004D7DA1">
      <w:pPr>
        <w:pStyle w:val="ListParagraph"/>
        <w:numPr>
          <w:ilvl w:val="0"/>
          <w:numId w:val="23"/>
        </w:numPr>
        <w:shd w:val="clear" w:color="auto" w:fill="DEEAF6" w:themeFill="accent5" w:themeFillTint="33"/>
      </w:pPr>
      <w:r>
        <w:rPr>
          <w:i/>
          <w:iCs/>
        </w:rPr>
        <w:t>Large:</w:t>
      </w:r>
      <w:r>
        <w:t xml:space="preserve"> FTF would remain open but only offering the AHW themes’</w:t>
      </w:r>
    </w:p>
    <w:p w14:paraId="5AE44D9A" w14:textId="45CDD857" w:rsidR="004D7DA1" w:rsidRDefault="004D7DA1" w:rsidP="009B482A">
      <w:pPr>
        <w:spacing w:after="0"/>
      </w:pPr>
    </w:p>
    <w:tbl>
      <w:tblPr>
        <w:tblStyle w:val="TableGrid"/>
        <w:tblW w:w="9067" w:type="dxa"/>
        <w:tblLook w:val="04A0" w:firstRow="1" w:lastRow="0" w:firstColumn="1" w:lastColumn="0" w:noHBand="0" w:noVBand="1"/>
      </w:tblPr>
      <w:tblGrid>
        <w:gridCol w:w="1555"/>
        <w:gridCol w:w="567"/>
        <w:gridCol w:w="6945"/>
      </w:tblGrid>
      <w:tr w:rsidR="009B482A" w14:paraId="430173CC" w14:textId="77777777" w:rsidTr="0006142C">
        <w:tc>
          <w:tcPr>
            <w:tcW w:w="1555" w:type="dxa"/>
          </w:tcPr>
          <w:p w14:paraId="3BE343DA" w14:textId="77777777" w:rsidR="009B482A" w:rsidRPr="003A01CA" w:rsidRDefault="009B482A" w:rsidP="00E169A0">
            <w:pPr>
              <w:rPr>
                <w:b/>
                <w:bCs/>
              </w:rPr>
            </w:pPr>
            <w:r w:rsidRPr="003A01CA">
              <w:rPr>
                <w:b/>
                <w:bCs/>
              </w:rPr>
              <w:lastRenderedPageBreak/>
              <w:t>Option A</w:t>
            </w:r>
          </w:p>
        </w:tc>
        <w:tc>
          <w:tcPr>
            <w:tcW w:w="567" w:type="dxa"/>
            <w:tcBorders>
              <w:right w:val="single" w:sz="4" w:space="0" w:color="auto"/>
            </w:tcBorders>
          </w:tcPr>
          <w:p w14:paraId="18AED5F8" w14:textId="77777777" w:rsidR="009B482A" w:rsidRDefault="009B482A" w:rsidP="00E169A0"/>
        </w:tc>
        <w:tc>
          <w:tcPr>
            <w:tcW w:w="6945" w:type="dxa"/>
            <w:vMerge w:val="restart"/>
            <w:tcBorders>
              <w:top w:val="single" w:sz="4" w:space="0" w:color="auto"/>
              <w:left w:val="single" w:sz="4" w:space="0" w:color="auto"/>
              <w:bottom w:val="single" w:sz="4" w:space="0" w:color="auto"/>
              <w:right w:val="single" w:sz="4" w:space="0" w:color="auto"/>
            </w:tcBorders>
          </w:tcPr>
          <w:p w14:paraId="0653416C" w14:textId="203C8704" w:rsidR="009B482A" w:rsidRPr="00ED1AF4" w:rsidRDefault="009B482A" w:rsidP="00E169A0">
            <w:pPr>
              <w:rPr>
                <w:rFonts w:ascii="OpenDyslexic 3" w:hAnsi="OpenDyslexic 3"/>
              </w:rPr>
            </w:pPr>
            <w:r w:rsidRPr="00FE5189">
              <w:rPr>
                <w:b/>
                <w:bCs/>
              </w:rPr>
              <w:t>Comments / Questions</w:t>
            </w:r>
            <w:r>
              <w:rPr>
                <w:b/>
                <w:bCs/>
              </w:rPr>
              <w:t>:</w:t>
            </w:r>
            <w:r w:rsidR="00ED1AF4">
              <w:rPr>
                <w:rFonts w:ascii="OpenDyslexic 3" w:hAnsi="OpenDyslexic 3"/>
              </w:rPr>
              <w:t xml:space="preserve"> It is arguable that </w:t>
            </w:r>
            <w:proofErr w:type="gramStart"/>
            <w:r w:rsidR="00ED1AF4">
              <w:rPr>
                <w:rFonts w:ascii="OpenDyslexic 3" w:hAnsi="OpenDyslexic 3"/>
              </w:rPr>
              <w:t>actually putting</w:t>
            </w:r>
            <w:proofErr w:type="gramEnd"/>
            <w:r w:rsidR="00ED1AF4">
              <w:rPr>
                <w:rFonts w:ascii="OpenDyslexic 3" w:hAnsi="OpenDyslexic 3"/>
              </w:rPr>
              <w:t xml:space="preserve"> the grants at a slight distance from AHWR gives greater clarity as to the pathway role in raising standards of health and welfare on farm in this instance. It is not ‘new news’ to anybody working in the sector that grants wax and wane and modify their presentation. To have AHWR as a constant lynchpin around which grants and </w:t>
            </w:r>
            <w:proofErr w:type="spellStart"/>
            <w:r w:rsidR="00ED1AF4">
              <w:rPr>
                <w:rFonts w:ascii="OpenDyslexic 3" w:hAnsi="OpenDyslexic 3"/>
              </w:rPr>
              <w:t>PbR</w:t>
            </w:r>
            <w:proofErr w:type="spellEnd"/>
            <w:r w:rsidR="00ED1AF4">
              <w:rPr>
                <w:rFonts w:ascii="OpenDyslexic 3" w:hAnsi="OpenDyslexic 3"/>
              </w:rPr>
              <w:t xml:space="preserve"> can fluctuate may prove beneficial in its identity in the future. Given that the goal of pathway is to be able to establish ongoing improvements in AH&amp;W on farm, embedding the principle of the review, the plan from the review and then an ‘exploration of the market’ for available support to deliver that plan would feel a good outcome.</w:t>
            </w:r>
          </w:p>
        </w:tc>
      </w:tr>
      <w:tr w:rsidR="009B482A" w14:paraId="32CA089D" w14:textId="77777777" w:rsidTr="0006142C">
        <w:tc>
          <w:tcPr>
            <w:tcW w:w="1555" w:type="dxa"/>
          </w:tcPr>
          <w:p w14:paraId="29C42F5B" w14:textId="77777777" w:rsidR="009B482A" w:rsidRPr="003A01CA" w:rsidRDefault="009B482A" w:rsidP="00E169A0">
            <w:pPr>
              <w:rPr>
                <w:b/>
                <w:bCs/>
              </w:rPr>
            </w:pPr>
            <w:r w:rsidRPr="003A01CA">
              <w:rPr>
                <w:b/>
                <w:bCs/>
              </w:rPr>
              <w:t>Option B</w:t>
            </w:r>
          </w:p>
        </w:tc>
        <w:tc>
          <w:tcPr>
            <w:tcW w:w="567" w:type="dxa"/>
            <w:tcBorders>
              <w:right w:val="single" w:sz="4" w:space="0" w:color="auto"/>
            </w:tcBorders>
          </w:tcPr>
          <w:p w14:paraId="66596C28" w14:textId="3BE87350" w:rsidR="009B482A" w:rsidRDefault="00ED1AF4" w:rsidP="00E169A0">
            <w:r>
              <w:t>X</w:t>
            </w:r>
          </w:p>
        </w:tc>
        <w:tc>
          <w:tcPr>
            <w:tcW w:w="6945" w:type="dxa"/>
            <w:vMerge/>
            <w:tcBorders>
              <w:top w:val="single" w:sz="4" w:space="0" w:color="auto"/>
              <w:left w:val="single" w:sz="4" w:space="0" w:color="auto"/>
              <w:bottom w:val="single" w:sz="4" w:space="0" w:color="auto"/>
              <w:right w:val="single" w:sz="4" w:space="0" w:color="auto"/>
            </w:tcBorders>
          </w:tcPr>
          <w:p w14:paraId="0F9719EB" w14:textId="77777777" w:rsidR="009B482A" w:rsidRDefault="009B482A" w:rsidP="00E169A0"/>
        </w:tc>
      </w:tr>
      <w:tr w:rsidR="009B482A" w14:paraId="2450EC08" w14:textId="77777777" w:rsidTr="0006142C">
        <w:tc>
          <w:tcPr>
            <w:tcW w:w="1555" w:type="dxa"/>
          </w:tcPr>
          <w:p w14:paraId="0BB94A60" w14:textId="77777777" w:rsidR="009B482A" w:rsidRPr="003A01CA" w:rsidRDefault="009B482A" w:rsidP="00E169A0">
            <w:pPr>
              <w:rPr>
                <w:b/>
                <w:bCs/>
              </w:rPr>
            </w:pPr>
            <w:r w:rsidRPr="003A01CA">
              <w:rPr>
                <w:b/>
                <w:bCs/>
              </w:rPr>
              <w:t xml:space="preserve">No </w:t>
            </w:r>
            <w:r>
              <w:rPr>
                <w:b/>
                <w:bCs/>
              </w:rPr>
              <w:t>p</w:t>
            </w:r>
            <w:r w:rsidRPr="003A01CA">
              <w:rPr>
                <w:b/>
                <w:bCs/>
              </w:rPr>
              <w:t>reference</w:t>
            </w:r>
          </w:p>
        </w:tc>
        <w:tc>
          <w:tcPr>
            <w:tcW w:w="567" w:type="dxa"/>
            <w:tcBorders>
              <w:right w:val="single" w:sz="4" w:space="0" w:color="auto"/>
            </w:tcBorders>
          </w:tcPr>
          <w:p w14:paraId="5E670875" w14:textId="77777777" w:rsidR="009B482A" w:rsidRDefault="009B482A" w:rsidP="00E169A0"/>
        </w:tc>
        <w:tc>
          <w:tcPr>
            <w:tcW w:w="6945" w:type="dxa"/>
            <w:vMerge/>
            <w:tcBorders>
              <w:top w:val="single" w:sz="4" w:space="0" w:color="auto"/>
              <w:left w:val="single" w:sz="4" w:space="0" w:color="auto"/>
              <w:bottom w:val="single" w:sz="4" w:space="0" w:color="auto"/>
              <w:right w:val="single" w:sz="4" w:space="0" w:color="auto"/>
            </w:tcBorders>
          </w:tcPr>
          <w:p w14:paraId="31BC6A90" w14:textId="77777777" w:rsidR="009B482A" w:rsidRDefault="009B482A" w:rsidP="00E169A0"/>
        </w:tc>
      </w:tr>
      <w:tr w:rsidR="009B482A" w14:paraId="2AD9CA3F" w14:textId="77777777" w:rsidTr="0006142C">
        <w:tc>
          <w:tcPr>
            <w:tcW w:w="1555" w:type="dxa"/>
          </w:tcPr>
          <w:p w14:paraId="4F7BC0F4" w14:textId="77777777" w:rsidR="009B482A" w:rsidRPr="003A01CA" w:rsidRDefault="009B482A" w:rsidP="00E169A0">
            <w:pPr>
              <w:rPr>
                <w:b/>
                <w:bCs/>
              </w:rPr>
            </w:pPr>
            <w:r>
              <w:rPr>
                <w:b/>
                <w:bCs/>
              </w:rPr>
              <w:t>Don’t know</w:t>
            </w:r>
          </w:p>
        </w:tc>
        <w:tc>
          <w:tcPr>
            <w:tcW w:w="567" w:type="dxa"/>
            <w:tcBorders>
              <w:right w:val="single" w:sz="4" w:space="0" w:color="auto"/>
            </w:tcBorders>
          </w:tcPr>
          <w:p w14:paraId="59A62682" w14:textId="77777777" w:rsidR="009B482A" w:rsidRDefault="009B482A" w:rsidP="00E169A0"/>
        </w:tc>
        <w:tc>
          <w:tcPr>
            <w:tcW w:w="6945" w:type="dxa"/>
            <w:vMerge/>
            <w:tcBorders>
              <w:top w:val="single" w:sz="4" w:space="0" w:color="auto"/>
              <w:left w:val="single" w:sz="4" w:space="0" w:color="auto"/>
              <w:bottom w:val="single" w:sz="4" w:space="0" w:color="auto"/>
              <w:right w:val="single" w:sz="4" w:space="0" w:color="auto"/>
            </w:tcBorders>
          </w:tcPr>
          <w:p w14:paraId="56202935" w14:textId="77777777" w:rsidR="009B482A" w:rsidRDefault="009B482A" w:rsidP="00E169A0"/>
        </w:tc>
      </w:tr>
    </w:tbl>
    <w:p w14:paraId="04F16603" w14:textId="77777777" w:rsidR="009B482A" w:rsidRDefault="009B482A" w:rsidP="00337680"/>
    <w:p w14:paraId="01DF85F0" w14:textId="1C74097E" w:rsidR="00240168" w:rsidRPr="00545E6C" w:rsidRDefault="73B5658E" w:rsidP="005D3E84">
      <w:pPr>
        <w:pStyle w:val="Heading2"/>
        <w:numPr>
          <w:ilvl w:val="0"/>
          <w:numId w:val="22"/>
        </w:numPr>
      </w:pPr>
      <w:r w:rsidRPr="41654D51">
        <w:t xml:space="preserve">Scheme Design </w:t>
      </w:r>
      <w:r w:rsidR="4F9139AF" w:rsidRPr="41654D51">
        <w:t>Questions:</w:t>
      </w:r>
      <w:r w:rsidR="67272E5F">
        <w:t xml:space="preserve"> </w:t>
      </w:r>
    </w:p>
    <w:p w14:paraId="3138657B" w14:textId="454B9E91" w:rsidR="004B10D9" w:rsidRDefault="004B10D9" w:rsidP="00335FE1">
      <w:pPr>
        <w:pStyle w:val="ListParagraph"/>
        <w:rPr>
          <w:rFonts w:eastAsia="Times New Roman"/>
          <w:lang w:eastAsia="en-US"/>
        </w:rPr>
      </w:pPr>
    </w:p>
    <w:p w14:paraId="461F205F" w14:textId="77777777" w:rsidR="000E0001" w:rsidRPr="00337680" w:rsidRDefault="000E0001" w:rsidP="000E0001">
      <w:pPr>
        <w:pStyle w:val="Heading3"/>
        <w:numPr>
          <w:ilvl w:val="1"/>
          <w:numId w:val="22"/>
        </w:numPr>
      </w:pPr>
      <w:r>
        <w:t xml:space="preserve">What impact would Option A or B have on </w:t>
      </w:r>
      <w:r w:rsidRPr="00654EAE">
        <w:rPr>
          <w:b/>
          <w:bCs/>
        </w:rPr>
        <w:t>eligibility</w:t>
      </w:r>
      <w:r w:rsidRPr="00654EAE">
        <w:t>?</w:t>
      </w:r>
      <w:r>
        <w:t xml:space="preserve"> </w:t>
      </w:r>
    </w:p>
    <w:p w14:paraId="3329C231" w14:textId="77777777" w:rsidR="000E0001" w:rsidRDefault="000E0001" w:rsidP="000E0001">
      <w:r w:rsidRPr="00832A6E">
        <w:rPr>
          <w:b/>
          <w:bCs/>
        </w:rPr>
        <w:t xml:space="preserve">A decision on whether we go with </w:t>
      </w:r>
      <w:r w:rsidRPr="00832A6E">
        <w:rPr>
          <w:b/>
          <w:bCs/>
          <w:u w:val="single"/>
        </w:rPr>
        <w:t>Option A or B</w:t>
      </w:r>
      <w:r w:rsidRPr="00832A6E">
        <w:rPr>
          <w:b/>
          <w:bCs/>
        </w:rPr>
        <w:t xml:space="preserve"> does not impact which farmers could be eligible for AHW grants</w:t>
      </w:r>
      <w:r>
        <w:t xml:space="preserve">. Our current assumption is that all farmers with dairy cattle, beef cattle, pigs, sheep, laying hens or meat chickens would be eligible, whether or not they are BPS recipients. Both DORA – the existing RPA IT system – and new SGS are able to take grant applications from all farmers. (The system used for SFI / AHWR is separate and cannot easily register farmers who don’t have BPS). In future years, we are considering opening up AHW grants to other livestock sectors, </w:t>
      </w:r>
      <w:proofErr w:type="spellStart"/>
      <w:r>
        <w:t>eg</w:t>
      </w:r>
      <w:proofErr w:type="spellEnd"/>
      <w:r>
        <w:t>: goats, turkeys.</w:t>
      </w:r>
    </w:p>
    <w:tbl>
      <w:tblPr>
        <w:tblStyle w:val="TableGrid"/>
        <w:tblW w:w="9067" w:type="dxa"/>
        <w:tblLook w:val="04A0" w:firstRow="1" w:lastRow="0" w:firstColumn="1" w:lastColumn="0" w:noHBand="0" w:noVBand="1"/>
      </w:tblPr>
      <w:tblGrid>
        <w:gridCol w:w="9067"/>
      </w:tblGrid>
      <w:tr w:rsidR="000E0001" w14:paraId="2BD08644" w14:textId="77777777" w:rsidTr="00E169A0">
        <w:trPr>
          <w:trHeight w:val="436"/>
        </w:trPr>
        <w:tc>
          <w:tcPr>
            <w:tcW w:w="9067" w:type="dxa"/>
            <w:vMerge w:val="restart"/>
          </w:tcPr>
          <w:p w14:paraId="640B97EF" w14:textId="2C2B73EE" w:rsidR="000E0001" w:rsidRPr="00ED1AF4" w:rsidRDefault="000E0001" w:rsidP="00E169A0">
            <w:pPr>
              <w:rPr>
                <w:rFonts w:ascii="OpenDyslexic 3" w:hAnsi="OpenDyslexic 3"/>
              </w:rPr>
            </w:pPr>
            <w:r w:rsidRPr="00FE5189">
              <w:rPr>
                <w:b/>
                <w:bCs/>
              </w:rPr>
              <w:t>Comments / Questions</w:t>
            </w:r>
            <w:r>
              <w:rPr>
                <w:b/>
                <w:bCs/>
              </w:rPr>
              <w:t>:</w:t>
            </w:r>
            <w:r w:rsidR="00ED1AF4">
              <w:rPr>
                <w:rFonts w:ascii="OpenDyslexic 3" w:hAnsi="OpenDyslexic 3"/>
              </w:rPr>
              <w:t xml:space="preserve"> agree. This is critical to ongoing improvements.</w:t>
            </w:r>
          </w:p>
        </w:tc>
      </w:tr>
      <w:tr w:rsidR="000E0001" w14:paraId="2D45507A" w14:textId="77777777" w:rsidTr="00E169A0">
        <w:trPr>
          <w:trHeight w:val="269"/>
        </w:trPr>
        <w:tc>
          <w:tcPr>
            <w:tcW w:w="9067" w:type="dxa"/>
            <w:vMerge/>
          </w:tcPr>
          <w:p w14:paraId="79BB9B64" w14:textId="77777777" w:rsidR="000E0001" w:rsidRDefault="000E0001" w:rsidP="00E169A0"/>
        </w:tc>
      </w:tr>
      <w:tr w:rsidR="000E0001" w14:paraId="7AA26F4E" w14:textId="77777777" w:rsidTr="00E169A0">
        <w:trPr>
          <w:trHeight w:val="269"/>
        </w:trPr>
        <w:tc>
          <w:tcPr>
            <w:tcW w:w="9067" w:type="dxa"/>
            <w:vMerge/>
          </w:tcPr>
          <w:p w14:paraId="572D299E" w14:textId="77777777" w:rsidR="000E0001" w:rsidRDefault="000E0001" w:rsidP="00E169A0"/>
        </w:tc>
      </w:tr>
      <w:tr w:rsidR="000E0001" w14:paraId="250E875D" w14:textId="77777777" w:rsidTr="00E169A0">
        <w:trPr>
          <w:trHeight w:val="269"/>
        </w:trPr>
        <w:tc>
          <w:tcPr>
            <w:tcW w:w="9067" w:type="dxa"/>
            <w:vMerge/>
          </w:tcPr>
          <w:p w14:paraId="44950C88" w14:textId="77777777" w:rsidR="000E0001" w:rsidRDefault="000E0001" w:rsidP="00E169A0"/>
        </w:tc>
      </w:tr>
    </w:tbl>
    <w:p w14:paraId="396BB8FA" w14:textId="77777777" w:rsidR="000E0001" w:rsidRPr="00D14BCE" w:rsidRDefault="000E0001" w:rsidP="000E0001"/>
    <w:p w14:paraId="1A7DB6EB" w14:textId="0073C558" w:rsidR="00337680" w:rsidRDefault="00335FE1" w:rsidP="005D3E84">
      <w:pPr>
        <w:pStyle w:val="Heading3"/>
        <w:numPr>
          <w:ilvl w:val="1"/>
          <w:numId w:val="22"/>
        </w:numPr>
      </w:pPr>
      <w:r>
        <w:t>How</w:t>
      </w:r>
      <w:r w:rsidR="00337680">
        <w:t xml:space="preserve"> would th</w:t>
      </w:r>
      <w:r>
        <w:t xml:space="preserve">is </w:t>
      </w:r>
      <w:r w:rsidR="00D94708">
        <w:t xml:space="preserve">decision </w:t>
      </w:r>
      <w:r>
        <w:t>impact a</w:t>
      </w:r>
      <w:r w:rsidR="00337680">
        <w:t xml:space="preserve">pplication </w:t>
      </w:r>
      <w:r w:rsidR="00337680" w:rsidRPr="00655ABB">
        <w:t>window</w:t>
      </w:r>
      <w:r w:rsidR="00255847" w:rsidRPr="00655ABB">
        <w:t>s</w:t>
      </w:r>
      <w:r>
        <w:t xml:space="preserve"> and claims process?</w:t>
      </w:r>
    </w:p>
    <w:p w14:paraId="78BE8EB9" w14:textId="4D969821" w:rsidR="003B1D80" w:rsidRDefault="007354F8" w:rsidP="00482323">
      <w:pPr>
        <w:spacing w:after="0"/>
      </w:pPr>
      <w:r>
        <w:t>Farmers have repeatedly asked for more certainty on what funding will be available to allow for effective business planning. If farmers do</w:t>
      </w:r>
      <w:r w:rsidR="00255847">
        <w:t xml:space="preserve">n’t know for the next year what </w:t>
      </w:r>
      <w:r>
        <w:t>funding will available</w:t>
      </w:r>
      <w:r w:rsidR="00255847">
        <w:t>,</w:t>
      </w:r>
      <w:r>
        <w:t xml:space="preserve"> when, what items are on the list and their chance of success</w:t>
      </w:r>
      <w:r w:rsidR="00255847">
        <w:t xml:space="preserve">, they may not make the best decisions for their business. Previously this resulted in farmers buying items they don’t need under one </w:t>
      </w:r>
      <w:r w:rsidR="00255847">
        <w:lastRenderedPageBreak/>
        <w:t>scheme, and then not having capital to apply for other schemes that could be beneficial. To address this, w</w:t>
      </w:r>
      <w:r w:rsidR="003B1D80">
        <w:t xml:space="preserve">e are currently working with policy colleagues developing environmental and productivity grants to align decisions on the application and claims process. </w:t>
      </w:r>
      <w:r w:rsidR="003B1D80" w:rsidRPr="00255847">
        <w:rPr>
          <w:b/>
          <w:bCs/>
        </w:rPr>
        <w:t xml:space="preserve">The </w:t>
      </w:r>
      <w:r w:rsidR="003B1D80" w:rsidRPr="00255847">
        <w:rPr>
          <w:b/>
          <w:bCs/>
          <w:i/>
          <w:iCs/>
        </w:rPr>
        <w:t>aim</w:t>
      </w:r>
      <w:r w:rsidR="003B1D80" w:rsidRPr="00255847">
        <w:rPr>
          <w:b/>
          <w:bCs/>
        </w:rPr>
        <w:t xml:space="preserve"> is that we align these as much as possible </w:t>
      </w:r>
      <w:r w:rsidR="003B1D80">
        <w:t>– the more commonality, the easier it is for farmers. As part of this, we are considering:</w:t>
      </w:r>
    </w:p>
    <w:p w14:paraId="28E85962" w14:textId="51C81D4C" w:rsidR="003B1D80" w:rsidRPr="003B1D80" w:rsidRDefault="003B1D80" w:rsidP="003B1D80">
      <w:pPr>
        <w:pStyle w:val="ListParagraph"/>
        <w:numPr>
          <w:ilvl w:val="0"/>
          <w:numId w:val="28"/>
        </w:numPr>
      </w:pPr>
      <w:r>
        <w:t>Common application windows</w:t>
      </w:r>
      <w:r w:rsidR="00255847">
        <w:t xml:space="preserve">, </w:t>
      </w:r>
      <w:proofErr w:type="spellStart"/>
      <w:r w:rsidR="00255847">
        <w:t>ie</w:t>
      </w:r>
      <w:proofErr w:type="spellEnd"/>
      <w:r w:rsidR="00255847">
        <w:t>, launching on the same date</w:t>
      </w:r>
      <w:r>
        <w:t xml:space="preserve"> (</w:t>
      </w:r>
      <w:r>
        <w:rPr>
          <w:i/>
          <w:iCs/>
        </w:rPr>
        <w:t>We are e</w:t>
      </w:r>
      <w:r w:rsidRPr="003B1D80">
        <w:rPr>
          <w:i/>
          <w:iCs/>
        </w:rPr>
        <w:t xml:space="preserve">xploring </w:t>
      </w:r>
      <w:r>
        <w:rPr>
          <w:i/>
          <w:iCs/>
        </w:rPr>
        <w:t xml:space="preserve">a range of </w:t>
      </w:r>
      <w:r w:rsidRPr="003B1D80">
        <w:rPr>
          <w:i/>
          <w:iCs/>
        </w:rPr>
        <w:t xml:space="preserve">options: 1 per year, multiple per year, 1 per sector, or </w:t>
      </w:r>
      <w:r>
        <w:rPr>
          <w:i/>
          <w:iCs/>
        </w:rPr>
        <w:t>rolling)</w:t>
      </w:r>
    </w:p>
    <w:p w14:paraId="6740E200" w14:textId="619150C8" w:rsidR="003B1D80" w:rsidRDefault="003B1D80" w:rsidP="003B1D80">
      <w:pPr>
        <w:pStyle w:val="ListParagraph"/>
        <w:numPr>
          <w:ilvl w:val="0"/>
          <w:numId w:val="28"/>
        </w:numPr>
      </w:pPr>
      <w:r>
        <w:t>Common timing</w:t>
      </w:r>
      <w:r w:rsidR="00255847">
        <w:t>s</w:t>
      </w:r>
      <w:r>
        <w:t xml:space="preserve"> with regards the application and claims process, </w:t>
      </w:r>
      <w:proofErr w:type="spellStart"/>
      <w:r>
        <w:t>eg</w:t>
      </w:r>
      <w:proofErr w:type="spellEnd"/>
      <w:r>
        <w:t xml:space="preserve">: advance notice pre-launch, </w:t>
      </w:r>
      <w:r w:rsidR="00482323">
        <w:t xml:space="preserve">application </w:t>
      </w:r>
      <w:r>
        <w:t xml:space="preserve">window, assessing application, </w:t>
      </w:r>
      <w:proofErr w:type="gramStart"/>
      <w:r w:rsidR="00482323">
        <w:t>implementation</w:t>
      </w:r>
      <w:proofErr w:type="gramEnd"/>
      <w:r w:rsidR="00482323">
        <w:t xml:space="preserve"> and claim time. </w:t>
      </w:r>
      <w:r w:rsidR="00255847" w:rsidRPr="00255847">
        <w:rPr>
          <w:i/>
          <w:iCs/>
        </w:rPr>
        <w:t>(</w:t>
      </w:r>
      <w:r w:rsidR="00482323">
        <w:rPr>
          <w:i/>
          <w:iCs/>
        </w:rPr>
        <w:t xml:space="preserve">Again, we are looking to make improvements, </w:t>
      </w:r>
      <w:proofErr w:type="spellStart"/>
      <w:r w:rsidR="00482323">
        <w:rPr>
          <w:i/>
          <w:iCs/>
        </w:rPr>
        <w:t>eg</w:t>
      </w:r>
      <w:proofErr w:type="spellEnd"/>
      <w:r w:rsidR="00482323">
        <w:rPr>
          <w:i/>
          <w:iCs/>
        </w:rPr>
        <w:t>: giving more warning before launch)</w:t>
      </w:r>
    </w:p>
    <w:p w14:paraId="541471D5" w14:textId="77777777" w:rsidR="00482323" w:rsidRDefault="00482323" w:rsidP="00255847">
      <w:pPr>
        <w:spacing w:after="0"/>
      </w:pPr>
    </w:p>
    <w:p w14:paraId="70A41D08" w14:textId="5E4826EA" w:rsidR="00D86169" w:rsidRDefault="003B1D80" w:rsidP="00D86169">
      <w:r>
        <w:t xml:space="preserve">If we go with </w:t>
      </w:r>
      <w:r>
        <w:rPr>
          <w:b/>
          <w:bCs/>
        </w:rPr>
        <w:t xml:space="preserve">Option </w:t>
      </w:r>
      <w:r w:rsidRPr="003B1D80">
        <w:rPr>
          <w:b/>
          <w:bCs/>
        </w:rPr>
        <w:t>B</w:t>
      </w:r>
      <w:r w:rsidR="00482323">
        <w:rPr>
          <w:b/>
          <w:bCs/>
        </w:rPr>
        <w:t xml:space="preserve">, </w:t>
      </w:r>
      <w:r w:rsidR="00482323">
        <w:t xml:space="preserve">for </w:t>
      </w:r>
      <w:r w:rsidR="00482323" w:rsidRPr="00482323">
        <w:rPr>
          <w:b/>
          <w:bCs/>
        </w:rPr>
        <w:t>small grants</w:t>
      </w:r>
      <w:r>
        <w:t xml:space="preserve"> we would be fully aligned</w:t>
      </w:r>
      <w:r w:rsidRPr="007354F8">
        <w:t xml:space="preserve"> by</w:t>
      </w:r>
      <w:r>
        <w:rPr>
          <w:i/>
          <w:iCs/>
        </w:rPr>
        <w:t xml:space="preserve"> de</w:t>
      </w:r>
      <w:r w:rsidR="007354F8">
        <w:rPr>
          <w:i/>
          <w:iCs/>
        </w:rPr>
        <w:t xml:space="preserve"> </w:t>
      </w:r>
      <w:r>
        <w:rPr>
          <w:i/>
          <w:iCs/>
        </w:rPr>
        <w:t xml:space="preserve">facto </w:t>
      </w:r>
      <w:r>
        <w:t xml:space="preserve">as </w:t>
      </w:r>
      <w:r w:rsidR="00255847">
        <w:t xml:space="preserve">there </w:t>
      </w:r>
      <w:r w:rsidR="00482323">
        <w:t xml:space="preserve">would only be one integrated list. </w:t>
      </w:r>
      <w:r w:rsidR="00482323" w:rsidRPr="00482323">
        <w:rPr>
          <w:b/>
          <w:bCs/>
        </w:rPr>
        <w:t xml:space="preserve">Farmers would only need claim once.  </w:t>
      </w:r>
      <w:r w:rsidR="00482323">
        <w:t xml:space="preserve">For </w:t>
      </w:r>
      <w:r w:rsidR="00482323" w:rsidRPr="00482323">
        <w:rPr>
          <w:b/>
          <w:bCs/>
        </w:rPr>
        <w:t>large grants</w:t>
      </w:r>
      <w:r w:rsidR="00482323">
        <w:t xml:space="preserve">, we would likely have a common application and claims process. However, we would need to reach agreement on whether to have a common application window for all ‘themes’ or whether these would be staggered throughout the year (each separately dependent on political/government factors affecting the launch date). </w:t>
      </w:r>
    </w:p>
    <w:p w14:paraId="4943593A" w14:textId="60FF042C" w:rsidR="00255847" w:rsidRPr="00E26646" w:rsidRDefault="00482323" w:rsidP="00255847">
      <w:pPr>
        <w:rPr>
          <w:rFonts w:cs="Arial"/>
          <w:color w:val="FF0000"/>
        </w:rPr>
      </w:pPr>
      <w:r>
        <w:t xml:space="preserve">If we go with </w:t>
      </w:r>
      <w:r>
        <w:rPr>
          <w:b/>
          <w:bCs/>
        </w:rPr>
        <w:t>Option A</w:t>
      </w:r>
      <w:r>
        <w:t>, we could end up agree</w:t>
      </w:r>
      <w:r w:rsidR="007354F8">
        <w:t>ing</w:t>
      </w:r>
      <w:r>
        <w:t xml:space="preserve"> to fully align the separate offers. However, for small grants </w:t>
      </w:r>
      <w:r w:rsidRPr="00482323">
        <w:rPr>
          <w:b/>
          <w:bCs/>
        </w:rPr>
        <w:t>the farm</w:t>
      </w:r>
      <w:r w:rsidR="00255847">
        <w:rPr>
          <w:b/>
          <w:bCs/>
        </w:rPr>
        <w:t>er</w:t>
      </w:r>
      <w:r w:rsidRPr="00482323">
        <w:rPr>
          <w:b/>
          <w:bCs/>
        </w:rPr>
        <w:t xml:space="preserve"> would need to claim twice</w:t>
      </w:r>
      <w:r>
        <w:t xml:space="preserve"> if they wanted to apply for AHW and productivity items. We expect this </w:t>
      </w:r>
      <w:r w:rsidR="00255847">
        <w:t>to</w:t>
      </w:r>
      <w:r>
        <w:t xml:space="preserve"> impact uptake, as farmers dislike additional administrative burden.</w:t>
      </w:r>
      <w:r w:rsidRPr="00255847">
        <w:t xml:space="preserve"> </w:t>
      </w:r>
      <w:r w:rsidR="00255847" w:rsidRPr="00255847">
        <w:rPr>
          <w:rFonts w:cs="Arial"/>
        </w:rPr>
        <w:t xml:space="preserve">In CPGS, AHW items had a lower uptake (1.4%) than other items (4%). This suggests that </w:t>
      </w:r>
      <w:r w:rsidR="00255847" w:rsidRPr="00255847">
        <w:rPr>
          <w:b/>
          <w:bCs/>
        </w:rPr>
        <w:t>Option A</w:t>
      </w:r>
      <w:r w:rsidR="00255847" w:rsidRPr="00255847">
        <w:t xml:space="preserve"> may put farmers off from applying to both AHW and FETF, lower AHW uptake.  </w:t>
      </w:r>
      <w:r w:rsidR="00255847" w:rsidRPr="00255847">
        <w:rPr>
          <w:rFonts w:cs="Arial"/>
          <w:b/>
          <w:bCs/>
        </w:rPr>
        <w:t>Option B</w:t>
      </w:r>
      <w:r w:rsidR="00255847" w:rsidRPr="00255847">
        <w:rPr>
          <w:rFonts w:cs="Arial"/>
        </w:rPr>
        <w:t xml:space="preserve"> – an integrated list - could be designed to incentivise applications for AHW items. For example, we could </w:t>
      </w:r>
      <w:r w:rsidR="00255847" w:rsidRPr="00255847">
        <w:rPr>
          <w:rFonts w:cs="Arial"/>
          <w:b/>
          <w:bCs/>
        </w:rPr>
        <w:t xml:space="preserve">require livestock farmers to apply for a minimum number / value of AHW items </w:t>
      </w:r>
      <w:r w:rsidR="00255847" w:rsidRPr="00255847">
        <w:rPr>
          <w:rFonts w:cs="Arial"/>
        </w:rPr>
        <w:t>in order to be able to apply for productivity items.</w:t>
      </w:r>
    </w:p>
    <w:p w14:paraId="1217D2EF" w14:textId="36FC5746" w:rsidR="00D86169" w:rsidRPr="00D86169" w:rsidRDefault="00482323" w:rsidP="00D86169">
      <w:r>
        <w:t xml:space="preserve">With </w:t>
      </w:r>
      <w:r>
        <w:rPr>
          <w:b/>
          <w:bCs/>
        </w:rPr>
        <w:t>Option A</w:t>
      </w:r>
      <w:r>
        <w:t xml:space="preserve"> there is also a risk that we don’t fully align</w:t>
      </w:r>
      <w:r w:rsidR="007354F8">
        <w:t xml:space="preserve"> with FIF / slurry grants etc</w:t>
      </w:r>
      <w:r>
        <w:t xml:space="preserve"> as there is no longer a requirement for policy teams to make</w:t>
      </w:r>
      <w:r w:rsidR="007354F8">
        <w:t xml:space="preserve"> common decisions</w:t>
      </w:r>
      <w:r>
        <w:t>.</w:t>
      </w:r>
      <w:r w:rsidR="007354F8">
        <w:t xml:space="preserve"> Multiple other factors, such as political decisions and delivery prioritisation, could mean that certain schemes are prioritised ahead of others – staggering application windows.  </w:t>
      </w:r>
    </w:p>
    <w:p w14:paraId="510F2FE7" w14:textId="4EA089AA" w:rsidR="00F75050" w:rsidRDefault="00F75050" w:rsidP="00F75050">
      <w:pPr>
        <w:shd w:val="clear" w:color="auto" w:fill="E2EFD9" w:themeFill="accent6" w:themeFillTint="33"/>
        <w:spacing w:after="0"/>
      </w:pPr>
      <w:r w:rsidRPr="009D604D">
        <w:rPr>
          <w:b/>
          <w:bCs/>
        </w:rPr>
        <w:t>Option A – Standalone AHW grants:</w:t>
      </w:r>
      <w:r>
        <w:t xml:space="preserve"> </w:t>
      </w:r>
    </w:p>
    <w:p w14:paraId="4EAD7F11" w14:textId="4EB8BABD" w:rsidR="00F75050" w:rsidRPr="009F7FD9" w:rsidRDefault="00F75050" w:rsidP="00F75050">
      <w:pPr>
        <w:pStyle w:val="ListParagraph"/>
        <w:numPr>
          <w:ilvl w:val="0"/>
          <w:numId w:val="23"/>
        </w:numPr>
        <w:shd w:val="clear" w:color="auto" w:fill="E2EFD9" w:themeFill="accent6" w:themeFillTint="33"/>
        <w:rPr>
          <w:i/>
          <w:iCs/>
        </w:rPr>
      </w:pPr>
      <w:r w:rsidRPr="009F7FD9">
        <w:rPr>
          <w:i/>
          <w:iCs/>
        </w:rPr>
        <w:t xml:space="preserve">Small: </w:t>
      </w:r>
      <w:r w:rsidR="00D86169" w:rsidRPr="009F7FD9">
        <w:t xml:space="preserve">Separate application windows </w:t>
      </w:r>
      <w:r w:rsidR="009F7FD9" w:rsidRPr="009F7FD9">
        <w:t>and multiple claims processes. These</w:t>
      </w:r>
      <w:r w:rsidR="00D86169" w:rsidRPr="009F7FD9">
        <w:t xml:space="preserve"> could either be:</w:t>
      </w:r>
    </w:p>
    <w:p w14:paraId="68E15EA0" w14:textId="7477A2BE" w:rsidR="009F7FD9" w:rsidRDefault="009F7FD9" w:rsidP="009F7FD9">
      <w:pPr>
        <w:shd w:val="clear" w:color="auto" w:fill="E2EFD9" w:themeFill="accent6" w:themeFillTint="33"/>
        <w:spacing w:after="0"/>
        <w:ind w:left="720" w:hanging="720"/>
        <w:rPr>
          <w:i/>
          <w:iCs/>
        </w:rPr>
      </w:pPr>
      <w:r>
        <w:t>.</w:t>
      </w:r>
      <w:r>
        <w:tab/>
      </w:r>
      <w:proofErr w:type="gramStart"/>
      <w:r w:rsidR="00D94708" w:rsidRPr="009F7FD9">
        <w:t>Fully-aligned</w:t>
      </w:r>
      <w:proofErr w:type="gramEnd"/>
      <w:r w:rsidR="00D94708" w:rsidRPr="009F7FD9">
        <w:t xml:space="preserve"> with AHW and FETF launching at the same time,</w:t>
      </w:r>
      <w:r w:rsidRPr="009F7FD9">
        <w:t xml:space="preserve"> and common timing for the claims </w:t>
      </w:r>
      <w:r>
        <w:t>process</w:t>
      </w:r>
    </w:p>
    <w:p w14:paraId="11EE606A" w14:textId="320655FE" w:rsidR="00D86169" w:rsidRPr="009F7FD9" w:rsidRDefault="009F7FD9" w:rsidP="009F7FD9">
      <w:pPr>
        <w:shd w:val="clear" w:color="auto" w:fill="E2EFD9" w:themeFill="accent6" w:themeFillTint="33"/>
        <w:spacing w:after="0"/>
        <w:ind w:left="720" w:hanging="720"/>
        <w:rPr>
          <w:i/>
          <w:iCs/>
        </w:rPr>
      </w:pPr>
      <w:r>
        <w:t xml:space="preserve">. </w:t>
      </w:r>
      <w:r>
        <w:tab/>
      </w:r>
      <w:proofErr w:type="gramStart"/>
      <w:r w:rsidR="00D86169">
        <w:t>Poorly-aligned</w:t>
      </w:r>
      <w:proofErr w:type="gramEnd"/>
      <w:r w:rsidR="00D86169">
        <w:t xml:space="preserve">, with AHW and FETF launching at different times </w:t>
      </w:r>
      <w:r>
        <w:t>so</w:t>
      </w:r>
      <w:r w:rsidR="00D86169">
        <w:t xml:space="preserve"> farmers </w:t>
      </w:r>
      <w:r>
        <w:t xml:space="preserve">do </w:t>
      </w:r>
      <w:r w:rsidR="00D86169">
        <w:t>not know if/when the</w:t>
      </w:r>
      <w:r>
        <w:t xml:space="preserve"> other grant scheme will open.</w:t>
      </w:r>
    </w:p>
    <w:p w14:paraId="70F09A52" w14:textId="2EBCAD52" w:rsidR="00F75050" w:rsidRPr="009F7FD9" w:rsidRDefault="00F75050" w:rsidP="00F75050">
      <w:pPr>
        <w:pStyle w:val="ListParagraph"/>
        <w:numPr>
          <w:ilvl w:val="0"/>
          <w:numId w:val="23"/>
        </w:numPr>
        <w:shd w:val="clear" w:color="auto" w:fill="E2EFD9" w:themeFill="accent6" w:themeFillTint="33"/>
      </w:pPr>
      <w:r w:rsidRPr="0050065C">
        <w:rPr>
          <w:i/>
          <w:iCs/>
        </w:rPr>
        <w:t xml:space="preserve">Large: </w:t>
      </w:r>
      <w:r w:rsidR="009F7FD9" w:rsidRPr="009F7FD9">
        <w:t>Separate application windows</w:t>
      </w:r>
      <w:r w:rsidR="009F7FD9">
        <w:t xml:space="preserve"> per theme</w:t>
      </w:r>
      <w:r w:rsidR="009F7FD9" w:rsidRPr="009F7FD9">
        <w:t xml:space="preserve"> and multiple claims processes</w:t>
      </w:r>
      <w:r w:rsidR="009F7FD9">
        <w:t>, either fully or poorly aligned.</w:t>
      </w:r>
    </w:p>
    <w:p w14:paraId="595D3240" w14:textId="77777777" w:rsidR="00F75050" w:rsidRDefault="00F75050" w:rsidP="00F75050">
      <w:pPr>
        <w:spacing w:after="0"/>
      </w:pPr>
    </w:p>
    <w:p w14:paraId="675DA1D5" w14:textId="6C3FC2BE" w:rsidR="00F75050" w:rsidRDefault="00F75050" w:rsidP="00F75050">
      <w:pPr>
        <w:shd w:val="clear" w:color="auto" w:fill="DEEAF6" w:themeFill="accent5" w:themeFillTint="33"/>
        <w:spacing w:after="0"/>
      </w:pPr>
      <w:r w:rsidRPr="00FE5189">
        <w:rPr>
          <w:b/>
          <w:bCs/>
        </w:rPr>
        <w:t>Option B – AHW Integrated with FIF:</w:t>
      </w:r>
      <w:r>
        <w:t xml:space="preserve"> </w:t>
      </w:r>
    </w:p>
    <w:p w14:paraId="0E164764" w14:textId="5A954D43" w:rsidR="00F75050" w:rsidRDefault="00F75050" w:rsidP="00F75050">
      <w:pPr>
        <w:pStyle w:val="ListParagraph"/>
        <w:numPr>
          <w:ilvl w:val="0"/>
          <w:numId w:val="23"/>
        </w:numPr>
        <w:shd w:val="clear" w:color="auto" w:fill="DEEAF6" w:themeFill="accent5" w:themeFillTint="33"/>
      </w:pPr>
      <w:r w:rsidRPr="0050065C">
        <w:rPr>
          <w:i/>
          <w:iCs/>
        </w:rPr>
        <w:t>Small:</w:t>
      </w:r>
      <w:r>
        <w:t xml:space="preserve"> </w:t>
      </w:r>
      <w:r w:rsidR="00D86169">
        <w:t>Common application window with a single claims process</w:t>
      </w:r>
    </w:p>
    <w:p w14:paraId="07BD8719" w14:textId="33C45ABD" w:rsidR="00F75050" w:rsidRPr="003C3A7A" w:rsidRDefault="00D86169" w:rsidP="00F75050">
      <w:pPr>
        <w:pStyle w:val="ListParagraph"/>
        <w:numPr>
          <w:ilvl w:val="0"/>
          <w:numId w:val="23"/>
        </w:numPr>
        <w:shd w:val="clear" w:color="auto" w:fill="DEEAF6" w:themeFill="accent5" w:themeFillTint="33"/>
      </w:pPr>
      <w:r>
        <w:rPr>
          <w:i/>
          <w:iCs/>
        </w:rPr>
        <w:t>(</w:t>
      </w:r>
      <w:r w:rsidR="00F75050" w:rsidRPr="0050065C">
        <w:rPr>
          <w:i/>
          <w:iCs/>
        </w:rPr>
        <w:t>Large:</w:t>
      </w:r>
      <w:r w:rsidR="00F75050">
        <w:t xml:space="preserve"> </w:t>
      </w:r>
      <w:r>
        <w:t xml:space="preserve">Common application window </w:t>
      </w:r>
      <w:r w:rsidR="00255847">
        <w:t xml:space="preserve">(either </w:t>
      </w:r>
      <w:r>
        <w:t xml:space="preserve">per </w:t>
      </w:r>
      <w:r w:rsidR="00655ABB">
        <w:t>‘</w:t>
      </w:r>
      <w:r>
        <w:t>theme</w:t>
      </w:r>
      <w:r w:rsidR="00655ABB">
        <w:t>’</w:t>
      </w:r>
      <w:r w:rsidR="00255847">
        <w:t>, or for all themes</w:t>
      </w:r>
      <w:r w:rsidR="00655ABB">
        <w:t>?</w:t>
      </w:r>
      <w:r w:rsidR="00255847">
        <w:t xml:space="preserve">), with </w:t>
      </w:r>
      <w:r w:rsidR="00655ABB">
        <w:t>a common</w:t>
      </w:r>
      <w:r w:rsidR="00255847">
        <w:t xml:space="preserve"> claims process</w:t>
      </w:r>
      <w:r w:rsidR="00655ABB">
        <w:t>, one</w:t>
      </w:r>
      <w:r w:rsidR="00255847">
        <w:t xml:space="preserve"> per </w:t>
      </w:r>
      <w:r w:rsidR="00655ABB">
        <w:t>‘</w:t>
      </w:r>
      <w:r w:rsidR="00255847">
        <w:t>theme</w:t>
      </w:r>
      <w:r w:rsidR="00655ABB">
        <w:t>’)</w:t>
      </w:r>
    </w:p>
    <w:p w14:paraId="62EB62D8" w14:textId="1491E04E" w:rsidR="00335FE1" w:rsidRDefault="00335FE1" w:rsidP="00335FE1"/>
    <w:tbl>
      <w:tblPr>
        <w:tblStyle w:val="TableGrid"/>
        <w:tblW w:w="9067" w:type="dxa"/>
        <w:tblLook w:val="04A0" w:firstRow="1" w:lastRow="0" w:firstColumn="1" w:lastColumn="0" w:noHBand="0" w:noVBand="1"/>
      </w:tblPr>
      <w:tblGrid>
        <w:gridCol w:w="1555"/>
        <w:gridCol w:w="567"/>
        <w:gridCol w:w="6945"/>
      </w:tblGrid>
      <w:tr w:rsidR="00255847" w14:paraId="3DDEAAA8" w14:textId="77777777" w:rsidTr="00E169A0">
        <w:tc>
          <w:tcPr>
            <w:tcW w:w="1555" w:type="dxa"/>
          </w:tcPr>
          <w:p w14:paraId="0A5DD757" w14:textId="77777777" w:rsidR="00255847" w:rsidRPr="003A01CA" w:rsidRDefault="00255847" w:rsidP="00E169A0">
            <w:pPr>
              <w:rPr>
                <w:b/>
                <w:bCs/>
              </w:rPr>
            </w:pPr>
            <w:r w:rsidRPr="003A01CA">
              <w:rPr>
                <w:b/>
                <w:bCs/>
              </w:rPr>
              <w:t>Option A</w:t>
            </w:r>
          </w:p>
        </w:tc>
        <w:tc>
          <w:tcPr>
            <w:tcW w:w="567" w:type="dxa"/>
          </w:tcPr>
          <w:p w14:paraId="4D1AEDCF" w14:textId="77777777" w:rsidR="00255847" w:rsidRDefault="00255847" w:rsidP="00E169A0"/>
        </w:tc>
        <w:tc>
          <w:tcPr>
            <w:tcW w:w="6945" w:type="dxa"/>
            <w:vMerge w:val="restart"/>
          </w:tcPr>
          <w:p w14:paraId="1D2209CC" w14:textId="02F5FFBC" w:rsidR="00255847" w:rsidRPr="00970D09" w:rsidRDefault="00255847" w:rsidP="00E169A0">
            <w:pPr>
              <w:rPr>
                <w:rFonts w:ascii="OpenDyslexic 3" w:hAnsi="OpenDyslexic 3"/>
              </w:rPr>
            </w:pPr>
            <w:r w:rsidRPr="00FE5189">
              <w:rPr>
                <w:b/>
                <w:bCs/>
              </w:rPr>
              <w:t>Comments / Questions</w:t>
            </w:r>
            <w:r>
              <w:rPr>
                <w:b/>
                <w:bCs/>
              </w:rPr>
              <w:t>:</w:t>
            </w:r>
            <w:r w:rsidR="00970D09">
              <w:rPr>
                <w:rFonts w:ascii="OpenDyslexic 3" w:hAnsi="OpenDyslexic 3"/>
              </w:rPr>
              <w:t xml:space="preserve"> Given that AHWR will occur throughout the calendar year, the closer that we can get to aligning the grants application to the same process – </w:t>
            </w:r>
            <w:proofErr w:type="spellStart"/>
            <w:r w:rsidR="00970D09">
              <w:rPr>
                <w:rFonts w:ascii="OpenDyslexic 3" w:hAnsi="OpenDyslexic 3"/>
              </w:rPr>
              <w:t>ie</w:t>
            </w:r>
            <w:proofErr w:type="spellEnd"/>
            <w:r w:rsidR="00970D09">
              <w:rPr>
                <w:rFonts w:ascii="OpenDyslexic 3" w:hAnsi="OpenDyslexic 3"/>
              </w:rPr>
              <w:t xml:space="preserve">, move away from ‘windows’ and towards and ongoing delivery of grant availability – the better. As a second best to this, ensuring that the validity of any mutual goal setting is such that it covers a period of up to 12 months so that an outcome from a review will be applicable to that year’s grant application cycle, is imperative. It may be that there is a need to allow a small amount of further veterinary time to be built into that grant application process </w:t>
            </w:r>
            <w:proofErr w:type="gramStart"/>
            <w:r w:rsidR="00970D09">
              <w:rPr>
                <w:rFonts w:ascii="OpenDyslexic 3" w:hAnsi="OpenDyslexic 3"/>
              </w:rPr>
              <w:t>in order to</w:t>
            </w:r>
            <w:proofErr w:type="gramEnd"/>
            <w:r w:rsidR="00970D09">
              <w:rPr>
                <w:rFonts w:ascii="OpenDyslexic 3" w:hAnsi="OpenDyslexic 3"/>
              </w:rPr>
              <w:t xml:space="preserve"> achieve the updated evidence and support for the grant application. The cost of this may be argued to be borne by either of farmer or Defra as grant provider. We would simply highlight that it is likely to be a cost, especially if the full list of grantable items is not available at the point of completion of the review.</w:t>
            </w:r>
          </w:p>
        </w:tc>
      </w:tr>
      <w:tr w:rsidR="00255847" w14:paraId="6F6DDF16" w14:textId="77777777" w:rsidTr="00E169A0">
        <w:tc>
          <w:tcPr>
            <w:tcW w:w="1555" w:type="dxa"/>
          </w:tcPr>
          <w:p w14:paraId="2245B6D1" w14:textId="77777777" w:rsidR="00255847" w:rsidRPr="003A01CA" w:rsidRDefault="00255847" w:rsidP="00E169A0">
            <w:pPr>
              <w:rPr>
                <w:b/>
                <w:bCs/>
              </w:rPr>
            </w:pPr>
            <w:r w:rsidRPr="003A01CA">
              <w:rPr>
                <w:b/>
                <w:bCs/>
              </w:rPr>
              <w:t>Option B</w:t>
            </w:r>
          </w:p>
        </w:tc>
        <w:tc>
          <w:tcPr>
            <w:tcW w:w="567" w:type="dxa"/>
          </w:tcPr>
          <w:p w14:paraId="678323D9" w14:textId="42B3D313" w:rsidR="00255847" w:rsidRDefault="00970D09" w:rsidP="00E169A0">
            <w:r>
              <w:t>X</w:t>
            </w:r>
          </w:p>
        </w:tc>
        <w:tc>
          <w:tcPr>
            <w:tcW w:w="6945" w:type="dxa"/>
            <w:vMerge/>
          </w:tcPr>
          <w:p w14:paraId="2D033751" w14:textId="77777777" w:rsidR="00255847" w:rsidRDefault="00255847" w:rsidP="00E169A0"/>
        </w:tc>
      </w:tr>
      <w:tr w:rsidR="00255847" w14:paraId="0BF18204" w14:textId="77777777" w:rsidTr="00E169A0">
        <w:tc>
          <w:tcPr>
            <w:tcW w:w="1555" w:type="dxa"/>
          </w:tcPr>
          <w:p w14:paraId="651445D4" w14:textId="77777777" w:rsidR="00255847" w:rsidRPr="003A01CA" w:rsidRDefault="00255847" w:rsidP="00E169A0">
            <w:pPr>
              <w:rPr>
                <w:b/>
                <w:bCs/>
              </w:rPr>
            </w:pPr>
            <w:r w:rsidRPr="003A01CA">
              <w:rPr>
                <w:b/>
                <w:bCs/>
              </w:rPr>
              <w:t xml:space="preserve">No </w:t>
            </w:r>
            <w:r>
              <w:rPr>
                <w:b/>
                <w:bCs/>
              </w:rPr>
              <w:t>p</w:t>
            </w:r>
            <w:r w:rsidRPr="003A01CA">
              <w:rPr>
                <w:b/>
                <w:bCs/>
              </w:rPr>
              <w:t>reference</w:t>
            </w:r>
          </w:p>
        </w:tc>
        <w:tc>
          <w:tcPr>
            <w:tcW w:w="567" w:type="dxa"/>
          </w:tcPr>
          <w:p w14:paraId="55C7B327" w14:textId="77777777" w:rsidR="00255847" w:rsidRDefault="00255847" w:rsidP="00E169A0"/>
        </w:tc>
        <w:tc>
          <w:tcPr>
            <w:tcW w:w="6945" w:type="dxa"/>
            <w:vMerge/>
          </w:tcPr>
          <w:p w14:paraId="6930B08A" w14:textId="77777777" w:rsidR="00255847" w:rsidRDefault="00255847" w:rsidP="00E169A0"/>
        </w:tc>
      </w:tr>
      <w:tr w:rsidR="00255847" w14:paraId="538D2B6D" w14:textId="77777777" w:rsidTr="00E169A0">
        <w:tc>
          <w:tcPr>
            <w:tcW w:w="1555" w:type="dxa"/>
          </w:tcPr>
          <w:p w14:paraId="4B158BCD" w14:textId="77777777" w:rsidR="00255847" w:rsidRPr="003A01CA" w:rsidRDefault="00255847" w:rsidP="00E169A0">
            <w:pPr>
              <w:rPr>
                <w:b/>
                <w:bCs/>
              </w:rPr>
            </w:pPr>
            <w:r>
              <w:rPr>
                <w:b/>
                <w:bCs/>
              </w:rPr>
              <w:lastRenderedPageBreak/>
              <w:t>Don’t know</w:t>
            </w:r>
          </w:p>
        </w:tc>
        <w:tc>
          <w:tcPr>
            <w:tcW w:w="567" w:type="dxa"/>
          </w:tcPr>
          <w:p w14:paraId="14A101BB" w14:textId="77777777" w:rsidR="00255847" w:rsidRDefault="00255847" w:rsidP="00E169A0"/>
        </w:tc>
        <w:tc>
          <w:tcPr>
            <w:tcW w:w="6945" w:type="dxa"/>
            <w:vMerge/>
          </w:tcPr>
          <w:p w14:paraId="7FCC16A1" w14:textId="77777777" w:rsidR="00255847" w:rsidRDefault="00255847" w:rsidP="00E169A0"/>
        </w:tc>
      </w:tr>
    </w:tbl>
    <w:p w14:paraId="3B56C204" w14:textId="77777777" w:rsidR="00255847" w:rsidRDefault="00255847" w:rsidP="00335FE1"/>
    <w:p w14:paraId="06D81A0B" w14:textId="7253D2E0" w:rsidR="005D3E84" w:rsidRPr="009F7FD9" w:rsidRDefault="000E0001" w:rsidP="009F7FD9">
      <w:pPr>
        <w:pStyle w:val="Heading3"/>
        <w:numPr>
          <w:ilvl w:val="1"/>
          <w:numId w:val="22"/>
        </w:numPr>
        <w:rPr>
          <w:i/>
          <w:iCs/>
        </w:rPr>
      </w:pPr>
      <w:r>
        <w:t xml:space="preserve">What impact would Option A or B have on </w:t>
      </w:r>
      <w:r w:rsidR="005D3E84">
        <w:t>the intervention rate?</w:t>
      </w:r>
    </w:p>
    <w:p w14:paraId="21692156" w14:textId="4381FBD4" w:rsidR="003C3A7A" w:rsidRPr="000E0001" w:rsidRDefault="008E32F1" w:rsidP="005D3E84">
      <w:pPr>
        <w:rPr>
          <w:b/>
          <w:bCs/>
        </w:rPr>
      </w:pPr>
      <w:r>
        <w:t>Currently for FETF, items have an intervention rate of</w:t>
      </w:r>
      <w:r w:rsidR="005D3E84">
        <w:t xml:space="preserve"> 40%</w:t>
      </w:r>
      <w:r>
        <w:t xml:space="preserve"> </w:t>
      </w:r>
      <w:r>
        <w:rPr>
          <w:i/>
          <w:iCs/>
        </w:rPr>
        <w:t xml:space="preserve">OR </w:t>
      </w:r>
      <w:r>
        <w:t>50%, although this is not visible to farmers as only the grant amount shown. For FTF, there is a flat rate of 40%. Our current working assumption for AHW is that we would cover 60% of costs for small grants, and 40% for large. However, w</w:t>
      </w:r>
      <w:r w:rsidR="005D3E84">
        <w:t xml:space="preserve">e plan to </w:t>
      </w:r>
      <w:r>
        <w:t xml:space="preserve">develop </w:t>
      </w:r>
      <w:r w:rsidR="005D3E84">
        <w:t>a variable intervention rate that is determined by item. This would be based on a set of criteria</w:t>
      </w:r>
      <w:r>
        <w:t>, for example,</w:t>
      </w:r>
      <w:r w:rsidR="005D3E84">
        <w:t xml:space="preserve"> items </w:t>
      </w:r>
      <w:r>
        <w:t>deliver</w:t>
      </w:r>
      <w:r w:rsidR="00BE0B6E">
        <w:t>ing</w:t>
      </w:r>
      <w:r>
        <w:t xml:space="preserve"> limited</w:t>
      </w:r>
      <w:r w:rsidR="005D3E84">
        <w:t xml:space="preserve"> productivity benefit </w:t>
      </w:r>
      <w:r>
        <w:t>but high AHW benefits receive a higher rate. We are also considering factors such as means testing / farm size.</w:t>
      </w:r>
      <w:r w:rsidR="00BE0B6E">
        <w:t xml:space="preserve"> </w:t>
      </w:r>
      <w:r w:rsidR="00BE0B6E" w:rsidRPr="000E0001">
        <w:rPr>
          <w:b/>
          <w:bCs/>
        </w:rPr>
        <w:t xml:space="preserve">Therefore, for </w:t>
      </w:r>
      <w:r w:rsidR="00BE0B6E" w:rsidRPr="000E0001">
        <w:rPr>
          <w:b/>
          <w:bCs/>
          <w:u w:val="single"/>
        </w:rPr>
        <w:t>Option A or B</w:t>
      </w:r>
      <w:r w:rsidR="00BE0B6E" w:rsidRPr="000E0001">
        <w:rPr>
          <w:b/>
          <w:bCs/>
        </w:rPr>
        <w:t>, there would be a common set of rules applied to determine each items intervention rate. The decision to integrate should not impact the intervention rate.</w:t>
      </w:r>
    </w:p>
    <w:tbl>
      <w:tblPr>
        <w:tblStyle w:val="TableGrid"/>
        <w:tblW w:w="9067" w:type="dxa"/>
        <w:tblLook w:val="04A0" w:firstRow="1" w:lastRow="0" w:firstColumn="1" w:lastColumn="0" w:noHBand="0" w:noVBand="1"/>
      </w:tblPr>
      <w:tblGrid>
        <w:gridCol w:w="9067"/>
      </w:tblGrid>
      <w:tr w:rsidR="000E0001" w14:paraId="7FD1A822" w14:textId="77777777" w:rsidTr="00E169A0">
        <w:trPr>
          <w:trHeight w:val="436"/>
        </w:trPr>
        <w:tc>
          <w:tcPr>
            <w:tcW w:w="9067" w:type="dxa"/>
            <w:vMerge w:val="restart"/>
          </w:tcPr>
          <w:p w14:paraId="44014570" w14:textId="657962D6" w:rsidR="000E0001" w:rsidRPr="00970D09" w:rsidRDefault="000E0001" w:rsidP="00E169A0">
            <w:pPr>
              <w:rPr>
                <w:rFonts w:ascii="OpenDyslexic 3" w:hAnsi="OpenDyslexic 3"/>
              </w:rPr>
            </w:pPr>
            <w:r w:rsidRPr="00FE5189">
              <w:rPr>
                <w:b/>
                <w:bCs/>
              </w:rPr>
              <w:t>Comments / Questions</w:t>
            </w:r>
            <w:r>
              <w:rPr>
                <w:b/>
                <w:bCs/>
              </w:rPr>
              <w:t>:</w:t>
            </w:r>
            <w:r w:rsidR="00970D09">
              <w:rPr>
                <w:rFonts w:ascii="OpenDyslexic 3" w:hAnsi="OpenDyslexic 3"/>
              </w:rPr>
              <w:t xml:space="preserve"> we would suggest that intervention rate should be proportionate to AH&amp;W benefit. This supports recognising AH&amp;W as a public good.</w:t>
            </w:r>
          </w:p>
        </w:tc>
      </w:tr>
      <w:tr w:rsidR="000E0001" w14:paraId="1DEF4DA4" w14:textId="77777777" w:rsidTr="00E169A0">
        <w:trPr>
          <w:trHeight w:val="269"/>
        </w:trPr>
        <w:tc>
          <w:tcPr>
            <w:tcW w:w="9067" w:type="dxa"/>
            <w:vMerge/>
          </w:tcPr>
          <w:p w14:paraId="292C2760" w14:textId="77777777" w:rsidR="000E0001" w:rsidRDefault="000E0001" w:rsidP="00E169A0"/>
        </w:tc>
      </w:tr>
      <w:tr w:rsidR="000E0001" w14:paraId="2330249C" w14:textId="77777777" w:rsidTr="00E169A0">
        <w:trPr>
          <w:trHeight w:val="269"/>
        </w:trPr>
        <w:tc>
          <w:tcPr>
            <w:tcW w:w="9067" w:type="dxa"/>
            <w:vMerge/>
          </w:tcPr>
          <w:p w14:paraId="00825629" w14:textId="77777777" w:rsidR="000E0001" w:rsidRDefault="000E0001" w:rsidP="00E169A0"/>
        </w:tc>
      </w:tr>
      <w:tr w:rsidR="000E0001" w14:paraId="5B3DE331" w14:textId="77777777" w:rsidTr="00E169A0">
        <w:trPr>
          <w:trHeight w:val="269"/>
        </w:trPr>
        <w:tc>
          <w:tcPr>
            <w:tcW w:w="9067" w:type="dxa"/>
            <w:vMerge/>
          </w:tcPr>
          <w:p w14:paraId="08F9339E" w14:textId="77777777" w:rsidR="000E0001" w:rsidRDefault="000E0001" w:rsidP="00E169A0"/>
        </w:tc>
      </w:tr>
    </w:tbl>
    <w:p w14:paraId="4312588E" w14:textId="77777777" w:rsidR="00597368" w:rsidRPr="00337680" w:rsidRDefault="00597368" w:rsidP="005D3E84"/>
    <w:p w14:paraId="7A0CE692" w14:textId="422B0393" w:rsidR="00335FE1" w:rsidRDefault="00BE27AA" w:rsidP="005D3E84">
      <w:pPr>
        <w:pStyle w:val="Heading3"/>
        <w:numPr>
          <w:ilvl w:val="1"/>
          <w:numId w:val="22"/>
        </w:numPr>
      </w:pPr>
      <w:r>
        <w:t xml:space="preserve">How would </w:t>
      </w:r>
      <w:proofErr w:type="gramStart"/>
      <w:r>
        <w:t xml:space="preserve">this </w:t>
      </w:r>
      <w:r w:rsidR="000E0001">
        <w:t xml:space="preserve"> decision</w:t>
      </w:r>
      <w:proofErr w:type="gramEnd"/>
      <w:r w:rsidR="000E0001">
        <w:t xml:space="preserve"> </w:t>
      </w:r>
      <w:r>
        <w:t xml:space="preserve">impact the </w:t>
      </w:r>
      <w:r w:rsidR="00335FE1">
        <w:t xml:space="preserve">minimum </w:t>
      </w:r>
      <w:r>
        <w:t>g</w:t>
      </w:r>
      <w:r w:rsidR="00335FE1">
        <w:t>rant?</w:t>
      </w:r>
    </w:p>
    <w:p w14:paraId="316A9126" w14:textId="21EF73C1" w:rsidR="00BE27AA" w:rsidRDefault="00BE27AA" w:rsidP="00BE27AA">
      <w:r>
        <w:t xml:space="preserve">The minimum grant is set based on the delivery cost of processing one grant application, to ensure the grant delivers the taxpayer value for money. However, this can present a barrier to small farms who are unable to finance the remaining capital investment, or who don’t need that much new equipment/technology. In </w:t>
      </w:r>
      <w:r w:rsidRPr="00FE5189">
        <w:rPr>
          <w:b/>
          <w:bCs/>
        </w:rPr>
        <w:t>Option A</w:t>
      </w:r>
      <w:r>
        <w:t xml:space="preserve">, if a farmer wanted to invest in items on both the AHW small grants and FETF list, they would need to meet the minimum grant for both schemes. This means they would need to purchase £8333 worth of capital items, investing £4333 of their own money.  In </w:t>
      </w:r>
      <w:r w:rsidRPr="0050065C">
        <w:rPr>
          <w:b/>
          <w:bCs/>
        </w:rPr>
        <w:t>Option B,</w:t>
      </w:r>
      <w:r>
        <w:t xml:space="preserve"> the farmer would need to purchase £4166 work of capital items, investing £2166 of their own money. (This assumes an intervention rate of 40% for productivity, and 60% for AHW + 50/50 split in value)</w:t>
      </w:r>
    </w:p>
    <w:p w14:paraId="625F8E08" w14:textId="77777777" w:rsidR="000E0001" w:rsidRDefault="000E0001" w:rsidP="000E0001">
      <w:pPr>
        <w:shd w:val="clear" w:color="auto" w:fill="E2EFD9" w:themeFill="accent6" w:themeFillTint="33"/>
        <w:spacing w:after="0"/>
      </w:pPr>
      <w:r w:rsidRPr="009D604D">
        <w:rPr>
          <w:b/>
          <w:bCs/>
        </w:rPr>
        <w:t>Option A – Standalone AHW grants:</w:t>
      </w:r>
      <w:r>
        <w:t xml:space="preserve"> </w:t>
      </w:r>
    </w:p>
    <w:p w14:paraId="06D8BAE0" w14:textId="77777777" w:rsidR="000E0001" w:rsidRPr="0050065C" w:rsidRDefault="000E0001" w:rsidP="000E0001">
      <w:pPr>
        <w:pStyle w:val="ListParagraph"/>
        <w:numPr>
          <w:ilvl w:val="0"/>
          <w:numId w:val="23"/>
        </w:numPr>
        <w:shd w:val="clear" w:color="auto" w:fill="E2EFD9" w:themeFill="accent6" w:themeFillTint="33"/>
        <w:rPr>
          <w:i/>
          <w:iCs/>
        </w:rPr>
      </w:pPr>
      <w:r w:rsidRPr="0050065C">
        <w:rPr>
          <w:i/>
          <w:iCs/>
        </w:rPr>
        <w:t xml:space="preserve">Small: </w:t>
      </w:r>
      <w:r w:rsidRPr="0050065C">
        <w:t xml:space="preserve">minimum grant of £2000 for each scheme. Therefore, if a farmer wanted to invest in capital items supporting both productivity and AHW, they would need to </w:t>
      </w:r>
      <w:r>
        <w:t xml:space="preserve">mee the </w:t>
      </w:r>
      <w:r w:rsidRPr="0050065C">
        <w:t>minimum grant rate twic</w:t>
      </w:r>
      <w:r>
        <w:t>e.</w:t>
      </w:r>
    </w:p>
    <w:p w14:paraId="4385E16A" w14:textId="77777777" w:rsidR="000E0001" w:rsidRDefault="000E0001" w:rsidP="000E0001">
      <w:pPr>
        <w:pStyle w:val="ListParagraph"/>
        <w:numPr>
          <w:ilvl w:val="0"/>
          <w:numId w:val="23"/>
        </w:numPr>
        <w:shd w:val="clear" w:color="auto" w:fill="E2EFD9" w:themeFill="accent6" w:themeFillTint="33"/>
      </w:pPr>
      <w:r>
        <w:rPr>
          <w:i/>
          <w:iCs/>
        </w:rPr>
        <w:t>(</w:t>
      </w:r>
      <w:r w:rsidRPr="0050065C">
        <w:rPr>
          <w:i/>
          <w:iCs/>
        </w:rPr>
        <w:t xml:space="preserve">Large: </w:t>
      </w:r>
      <w:r w:rsidRPr="0050065C">
        <w:t>minimum grant of £35,000 applies for each ‘theme’ in AHW large grants</w:t>
      </w:r>
      <w:r>
        <w:t>)</w:t>
      </w:r>
      <w:r w:rsidRPr="0050065C">
        <w:t xml:space="preserve"> </w:t>
      </w:r>
    </w:p>
    <w:p w14:paraId="022588A3" w14:textId="77777777" w:rsidR="000E0001" w:rsidRPr="0050065C" w:rsidRDefault="000E0001" w:rsidP="000E0001">
      <w:pPr>
        <w:pStyle w:val="ListParagraph"/>
        <w:ind w:left="360"/>
      </w:pPr>
      <w:r w:rsidRPr="0050065C">
        <w:t xml:space="preserve">                                                                                                                                                                                                                                                                                                                                                                                                                                                                                     </w:t>
      </w:r>
    </w:p>
    <w:p w14:paraId="74F7829E" w14:textId="77777777" w:rsidR="000E0001" w:rsidRDefault="000E0001" w:rsidP="000E0001">
      <w:pPr>
        <w:shd w:val="clear" w:color="auto" w:fill="DEEAF6" w:themeFill="accent5" w:themeFillTint="33"/>
        <w:spacing w:after="0"/>
      </w:pPr>
      <w:r w:rsidRPr="00FE5189">
        <w:rPr>
          <w:b/>
          <w:bCs/>
        </w:rPr>
        <w:t>Option B – AHW Integrated with FIF:</w:t>
      </w:r>
      <w:r>
        <w:t xml:space="preserve"> </w:t>
      </w:r>
    </w:p>
    <w:p w14:paraId="565AEA73" w14:textId="77777777" w:rsidR="000E0001" w:rsidRDefault="000E0001" w:rsidP="000E0001">
      <w:pPr>
        <w:pStyle w:val="ListParagraph"/>
        <w:numPr>
          <w:ilvl w:val="0"/>
          <w:numId w:val="23"/>
        </w:numPr>
        <w:shd w:val="clear" w:color="auto" w:fill="DEEAF6" w:themeFill="accent5" w:themeFillTint="33"/>
      </w:pPr>
      <w:r w:rsidRPr="0050065C">
        <w:rPr>
          <w:i/>
          <w:iCs/>
        </w:rPr>
        <w:t>Small:</w:t>
      </w:r>
      <w:r>
        <w:t xml:space="preserve"> minimum grant of £2000 for FETF, where farmer could apply for productivity and AHW items.</w:t>
      </w:r>
    </w:p>
    <w:p w14:paraId="78E122B4" w14:textId="77777777" w:rsidR="000E0001" w:rsidRDefault="000E0001" w:rsidP="000E0001">
      <w:pPr>
        <w:pStyle w:val="ListParagraph"/>
        <w:numPr>
          <w:ilvl w:val="0"/>
          <w:numId w:val="23"/>
        </w:numPr>
        <w:shd w:val="clear" w:color="auto" w:fill="DEEAF6" w:themeFill="accent5" w:themeFillTint="33"/>
      </w:pPr>
      <w:r>
        <w:rPr>
          <w:i/>
          <w:iCs/>
        </w:rPr>
        <w:t>(</w:t>
      </w:r>
      <w:r w:rsidRPr="0050065C">
        <w:rPr>
          <w:i/>
          <w:iCs/>
        </w:rPr>
        <w:t>Large:</w:t>
      </w:r>
      <w:r>
        <w:t xml:space="preserve"> minimum grant of £35,000 applies for each ‘theme’ in FTF)</w:t>
      </w:r>
    </w:p>
    <w:p w14:paraId="7A38714D" w14:textId="77777777" w:rsidR="000E0001" w:rsidRDefault="000E0001" w:rsidP="00BE27AA"/>
    <w:tbl>
      <w:tblPr>
        <w:tblStyle w:val="TableGrid"/>
        <w:tblW w:w="9067" w:type="dxa"/>
        <w:tblLook w:val="04A0" w:firstRow="1" w:lastRow="0" w:firstColumn="1" w:lastColumn="0" w:noHBand="0" w:noVBand="1"/>
      </w:tblPr>
      <w:tblGrid>
        <w:gridCol w:w="1555"/>
        <w:gridCol w:w="567"/>
        <w:gridCol w:w="6945"/>
      </w:tblGrid>
      <w:tr w:rsidR="00643BB9" w14:paraId="47A8F557" w14:textId="0C4DF4B9" w:rsidTr="00FE5189">
        <w:tc>
          <w:tcPr>
            <w:tcW w:w="1555" w:type="dxa"/>
          </w:tcPr>
          <w:p w14:paraId="1DB39D31" w14:textId="16C25767" w:rsidR="00643BB9" w:rsidRPr="003A01CA" w:rsidRDefault="00643BB9" w:rsidP="002B5A89">
            <w:pPr>
              <w:rPr>
                <w:b/>
                <w:bCs/>
              </w:rPr>
            </w:pPr>
            <w:r w:rsidRPr="003A01CA">
              <w:rPr>
                <w:b/>
                <w:bCs/>
              </w:rPr>
              <w:t>Option A</w:t>
            </w:r>
          </w:p>
        </w:tc>
        <w:tc>
          <w:tcPr>
            <w:tcW w:w="567" w:type="dxa"/>
          </w:tcPr>
          <w:p w14:paraId="486F480E" w14:textId="77777777" w:rsidR="00643BB9" w:rsidRDefault="00643BB9" w:rsidP="002B5A89"/>
        </w:tc>
        <w:tc>
          <w:tcPr>
            <w:tcW w:w="6945" w:type="dxa"/>
            <w:vMerge w:val="restart"/>
          </w:tcPr>
          <w:p w14:paraId="25B20598" w14:textId="2707E2E6" w:rsidR="00643BB9" w:rsidRPr="00CD3A90" w:rsidRDefault="00643BB9" w:rsidP="002B5A89">
            <w:pPr>
              <w:rPr>
                <w:rFonts w:ascii="OpenDyslexic 3" w:hAnsi="OpenDyslexic 3"/>
              </w:rPr>
            </w:pPr>
            <w:r w:rsidRPr="00FE5189">
              <w:rPr>
                <w:b/>
                <w:bCs/>
              </w:rPr>
              <w:t>Comments / Questions</w:t>
            </w:r>
            <w:r>
              <w:rPr>
                <w:b/>
                <w:bCs/>
              </w:rPr>
              <w:t>:</w:t>
            </w:r>
            <w:r w:rsidR="00CD3A90">
              <w:rPr>
                <w:rFonts w:ascii="OpenDyslexic 3" w:hAnsi="OpenDyslexic 3"/>
              </w:rPr>
              <w:t xml:space="preserve"> others are better placed to comment on this.</w:t>
            </w:r>
          </w:p>
        </w:tc>
      </w:tr>
      <w:tr w:rsidR="00643BB9" w14:paraId="3949D074" w14:textId="3BCEE902" w:rsidTr="00FE5189">
        <w:tc>
          <w:tcPr>
            <w:tcW w:w="1555" w:type="dxa"/>
          </w:tcPr>
          <w:p w14:paraId="37D8E126" w14:textId="7279DDB3" w:rsidR="00643BB9" w:rsidRPr="003A01CA" w:rsidRDefault="00643BB9" w:rsidP="002B5A89">
            <w:pPr>
              <w:rPr>
                <w:b/>
                <w:bCs/>
              </w:rPr>
            </w:pPr>
            <w:r w:rsidRPr="003A01CA">
              <w:rPr>
                <w:b/>
                <w:bCs/>
              </w:rPr>
              <w:t>Option B</w:t>
            </w:r>
          </w:p>
        </w:tc>
        <w:tc>
          <w:tcPr>
            <w:tcW w:w="567" w:type="dxa"/>
          </w:tcPr>
          <w:p w14:paraId="7901F58B" w14:textId="77777777" w:rsidR="00643BB9" w:rsidRDefault="00643BB9" w:rsidP="002B5A89"/>
        </w:tc>
        <w:tc>
          <w:tcPr>
            <w:tcW w:w="6945" w:type="dxa"/>
            <w:vMerge/>
          </w:tcPr>
          <w:p w14:paraId="0BCDD3F7" w14:textId="77777777" w:rsidR="00643BB9" w:rsidRDefault="00643BB9" w:rsidP="002B5A89"/>
        </w:tc>
      </w:tr>
      <w:tr w:rsidR="00643BB9" w14:paraId="46414C7B" w14:textId="1C929094" w:rsidTr="00FE5189">
        <w:tc>
          <w:tcPr>
            <w:tcW w:w="1555" w:type="dxa"/>
          </w:tcPr>
          <w:p w14:paraId="0A0C5FBF" w14:textId="50DE8CBC" w:rsidR="00643BB9" w:rsidRPr="003A01CA" w:rsidRDefault="00643BB9" w:rsidP="002B5A89">
            <w:pPr>
              <w:rPr>
                <w:b/>
                <w:bCs/>
              </w:rPr>
            </w:pPr>
            <w:r w:rsidRPr="003A01CA">
              <w:rPr>
                <w:b/>
                <w:bCs/>
              </w:rPr>
              <w:t>No Preference</w:t>
            </w:r>
          </w:p>
        </w:tc>
        <w:tc>
          <w:tcPr>
            <w:tcW w:w="567" w:type="dxa"/>
          </w:tcPr>
          <w:p w14:paraId="1B650995" w14:textId="77777777" w:rsidR="00643BB9" w:rsidRDefault="00643BB9" w:rsidP="002B5A89"/>
        </w:tc>
        <w:tc>
          <w:tcPr>
            <w:tcW w:w="6945" w:type="dxa"/>
            <w:vMerge/>
          </w:tcPr>
          <w:p w14:paraId="3DC13EA8" w14:textId="77777777" w:rsidR="00643BB9" w:rsidRDefault="00643BB9" w:rsidP="002B5A89"/>
        </w:tc>
      </w:tr>
      <w:tr w:rsidR="00643BB9" w14:paraId="20F3D8E6" w14:textId="77777777" w:rsidTr="00FE5189">
        <w:tc>
          <w:tcPr>
            <w:tcW w:w="1555" w:type="dxa"/>
          </w:tcPr>
          <w:p w14:paraId="0C8475C8" w14:textId="660BC5A2" w:rsidR="00643BB9" w:rsidRPr="003A01CA" w:rsidRDefault="00643BB9" w:rsidP="002B5A89">
            <w:pPr>
              <w:rPr>
                <w:b/>
                <w:bCs/>
              </w:rPr>
            </w:pPr>
            <w:r>
              <w:rPr>
                <w:b/>
                <w:bCs/>
              </w:rPr>
              <w:t>Don’t know</w:t>
            </w:r>
          </w:p>
        </w:tc>
        <w:tc>
          <w:tcPr>
            <w:tcW w:w="567" w:type="dxa"/>
          </w:tcPr>
          <w:p w14:paraId="50A72CE8" w14:textId="77777777" w:rsidR="00643BB9" w:rsidRDefault="00643BB9" w:rsidP="002B5A89"/>
        </w:tc>
        <w:tc>
          <w:tcPr>
            <w:tcW w:w="6945" w:type="dxa"/>
            <w:vMerge/>
          </w:tcPr>
          <w:p w14:paraId="3872A36A" w14:textId="77777777" w:rsidR="00643BB9" w:rsidRDefault="00643BB9" w:rsidP="002B5A89"/>
        </w:tc>
      </w:tr>
    </w:tbl>
    <w:p w14:paraId="159BEDC1" w14:textId="22C81ADB" w:rsidR="009D604D" w:rsidRDefault="009D604D" w:rsidP="002B5A89"/>
    <w:p w14:paraId="4941DDB8" w14:textId="1296F17D" w:rsidR="00545E6C" w:rsidRDefault="0BBDC10C" w:rsidP="003A01CA">
      <w:pPr>
        <w:pStyle w:val="Heading3"/>
        <w:numPr>
          <w:ilvl w:val="1"/>
          <w:numId w:val="22"/>
        </w:numPr>
      </w:pPr>
      <w:r w:rsidRPr="41654D51">
        <w:t>H</w:t>
      </w:r>
      <w:r w:rsidR="7F416110" w:rsidRPr="41654D51">
        <w:t xml:space="preserve">ow would </w:t>
      </w:r>
      <w:r w:rsidR="00335FE1">
        <w:t xml:space="preserve">this </w:t>
      </w:r>
      <w:r w:rsidR="000E0001">
        <w:t xml:space="preserve">decision </w:t>
      </w:r>
      <w:r w:rsidR="00335FE1">
        <w:t xml:space="preserve">impact </w:t>
      </w:r>
      <w:r w:rsidR="7F416110" w:rsidRPr="41654D51">
        <w:t xml:space="preserve">funding </w:t>
      </w:r>
      <w:proofErr w:type="gramStart"/>
      <w:r w:rsidR="7F416110" w:rsidRPr="41654D51">
        <w:t>allocated</w:t>
      </w:r>
      <w:proofErr w:type="gramEnd"/>
      <w:r w:rsidR="00335FE1">
        <w:t xml:space="preserve"> to AHW? </w:t>
      </w:r>
    </w:p>
    <w:p w14:paraId="2E9123A1" w14:textId="39F83DA2" w:rsidR="41654D51" w:rsidRPr="000E0001" w:rsidRDefault="009E4F18" w:rsidP="000E0001">
      <w:pPr>
        <w:rPr>
          <w:rFonts w:eastAsia="Times New Roman"/>
          <w:b/>
          <w:bCs/>
        </w:rPr>
      </w:pPr>
      <w:r>
        <w:rPr>
          <w:rFonts w:eastAsia="Times New Roman"/>
        </w:rPr>
        <w:t>Currently, there a</w:t>
      </w:r>
      <w:r w:rsidR="00B73F9D">
        <w:rPr>
          <w:rFonts w:eastAsia="Times New Roman"/>
        </w:rPr>
        <w:t>re</w:t>
      </w:r>
      <w:r>
        <w:rPr>
          <w:rFonts w:eastAsia="Times New Roman"/>
        </w:rPr>
        <w:t xml:space="preserve"> separate </w:t>
      </w:r>
      <w:r w:rsidR="00B73F9D">
        <w:rPr>
          <w:rFonts w:eastAsia="Times New Roman"/>
        </w:rPr>
        <w:t>budgets</w:t>
      </w:r>
      <w:r>
        <w:rPr>
          <w:rFonts w:eastAsia="Times New Roman"/>
        </w:rPr>
        <w:t xml:space="preserve"> for each FF grants scheme – and hence a dedicated budget for AHW small and large grants. </w:t>
      </w:r>
      <w:r w:rsidRPr="000E0001">
        <w:rPr>
          <w:rFonts w:eastAsia="Times New Roman"/>
          <w:b/>
          <w:bCs/>
        </w:rPr>
        <w:t xml:space="preserve">In </w:t>
      </w:r>
      <w:r w:rsidRPr="000E0001">
        <w:rPr>
          <w:rFonts w:eastAsia="Times New Roman"/>
          <w:b/>
          <w:bCs/>
          <w:u w:val="single"/>
        </w:rPr>
        <w:t xml:space="preserve">Option A or </w:t>
      </w:r>
      <w:proofErr w:type="gramStart"/>
      <w:r w:rsidRPr="000E0001">
        <w:rPr>
          <w:rFonts w:eastAsia="Times New Roman"/>
          <w:b/>
          <w:bCs/>
          <w:u w:val="single"/>
        </w:rPr>
        <w:t>B</w:t>
      </w:r>
      <w:proofErr w:type="gramEnd"/>
      <w:r w:rsidRPr="000E0001">
        <w:rPr>
          <w:rFonts w:eastAsia="Times New Roman"/>
          <w:b/>
          <w:bCs/>
        </w:rPr>
        <w:t xml:space="preserve"> we would retain a separate budget for AHW.</w:t>
      </w:r>
      <w:r>
        <w:rPr>
          <w:rFonts w:eastAsia="Times New Roman"/>
        </w:rPr>
        <w:t xml:space="preserve"> Whilst </w:t>
      </w:r>
      <w:r w:rsidRPr="009E4F18">
        <w:rPr>
          <w:rFonts w:eastAsia="Times New Roman"/>
          <w:b/>
          <w:bCs/>
        </w:rPr>
        <w:t>Option B</w:t>
      </w:r>
      <w:r>
        <w:rPr>
          <w:rFonts w:eastAsia="Times New Roman"/>
        </w:rPr>
        <w:t xml:space="preserve"> would present an integrated ‘front end’ - </w:t>
      </w:r>
      <w:proofErr w:type="spellStart"/>
      <w:proofErr w:type="gramStart"/>
      <w:r>
        <w:rPr>
          <w:rFonts w:eastAsia="Times New Roman"/>
        </w:rPr>
        <w:t>ie</w:t>
      </w:r>
      <w:proofErr w:type="spellEnd"/>
      <w:proofErr w:type="gramEnd"/>
      <w:r>
        <w:rPr>
          <w:rFonts w:eastAsia="Times New Roman"/>
        </w:rPr>
        <w:t xml:space="preserve"> farmers are presented with one list, it </w:t>
      </w:r>
      <w:r w:rsidR="0BBDC10C" w:rsidRPr="00335FE1">
        <w:rPr>
          <w:rFonts w:eastAsia="Times New Roman"/>
        </w:rPr>
        <w:t xml:space="preserve">would operate </w:t>
      </w:r>
      <w:r>
        <w:rPr>
          <w:rFonts w:eastAsia="Times New Roman"/>
        </w:rPr>
        <w:t xml:space="preserve">separately in the ‘back end’ </w:t>
      </w:r>
      <w:r w:rsidR="00B73F9D">
        <w:rPr>
          <w:rFonts w:eastAsia="Times New Roman"/>
        </w:rPr>
        <w:t xml:space="preserve">with </w:t>
      </w:r>
      <w:r w:rsidR="0BBDC10C" w:rsidRPr="00335FE1">
        <w:rPr>
          <w:rFonts w:eastAsia="Times New Roman"/>
        </w:rPr>
        <w:t xml:space="preserve">separate </w:t>
      </w:r>
      <w:r w:rsidR="00B73F9D">
        <w:rPr>
          <w:rFonts w:eastAsia="Times New Roman"/>
        </w:rPr>
        <w:t>budgets</w:t>
      </w:r>
      <w:r w:rsidR="0BBDC10C" w:rsidRPr="00335FE1">
        <w:rPr>
          <w:rFonts w:eastAsia="Times New Roman"/>
        </w:rPr>
        <w:t xml:space="preserve">, secured from individual business cases and separate HMT approvals. </w:t>
      </w:r>
      <w:r w:rsidR="00B73F9D" w:rsidRPr="000E0001">
        <w:rPr>
          <w:rFonts w:eastAsia="Times New Roman"/>
          <w:b/>
          <w:bCs/>
        </w:rPr>
        <w:t>There</w:t>
      </w:r>
      <w:r w:rsidR="66DFF420" w:rsidRPr="000E0001">
        <w:rPr>
          <w:rFonts w:eastAsia="Times New Roman"/>
          <w:b/>
          <w:bCs/>
        </w:rPr>
        <w:t xml:space="preserve"> would be</w:t>
      </w:r>
      <w:r w:rsidR="66DFF420" w:rsidRPr="00335FE1">
        <w:rPr>
          <w:rFonts w:eastAsia="Times New Roman"/>
        </w:rPr>
        <w:t xml:space="preserve"> </w:t>
      </w:r>
      <w:r w:rsidR="66DFF420" w:rsidRPr="00335FE1">
        <w:rPr>
          <w:rFonts w:eastAsia="Times New Roman"/>
          <w:b/>
          <w:bCs/>
        </w:rPr>
        <w:t xml:space="preserve">no </w:t>
      </w:r>
      <w:r w:rsidR="00B73F9D">
        <w:rPr>
          <w:rFonts w:eastAsia="Times New Roman"/>
          <w:b/>
          <w:bCs/>
        </w:rPr>
        <w:t xml:space="preserve">impact on AHW budget overall, </w:t>
      </w:r>
      <w:r w:rsidR="00B73F9D">
        <w:rPr>
          <w:rFonts w:eastAsia="Times New Roman"/>
        </w:rPr>
        <w:t xml:space="preserve">however, how these funds are allocated to individual farmers could be influence by application scoring (see 4.6.) </w:t>
      </w:r>
    </w:p>
    <w:tbl>
      <w:tblPr>
        <w:tblStyle w:val="TableGrid"/>
        <w:tblW w:w="9067" w:type="dxa"/>
        <w:tblLook w:val="04A0" w:firstRow="1" w:lastRow="0" w:firstColumn="1" w:lastColumn="0" w:noHBand="0" w:noVBand="1"/>
      </w:tblPr>
      <w:tblGrid>
        <w:gridCol w:w="9067"/>
      </w:tblGrid>
      <w:tr w:rsidR="000E0001" w14:paraId="2D221481" w14:textId="77777777" w:rsidTr="00E169A0">
        <w:trPr>
          <w:trHeight w:val="436"/>
        </w:trPr>
        <w:tc>
          <w:tcPr>
            <w:tcW w:w="9067" w:type="dxa"/>
            <w:vMerge w:val="restart"/>
          </w:tcPr>
          <w:p w14:paraId="473DE90B" w14:textId="435F51F8" w:rsidR="000E0001" w:rsidRPr="00CD3A90" w:rsidRDefault="000E0001" w:rsidP="00E169A0">
            <w:pPr>
              <w:rPr>
                <w:rFonts w:ascii="OpenDyslexic 3" w:hAnsi="OpenDyslexic 3"/>
              </w:rPr>
            </w:pPr>
            <w:r w:rsidRPr="00FE5189">
              <w:rPr>
                <w:b/>
                <w:bCs/>
              </w:rPr>
              <w:t>Comments / Questions</w:t>
            </w:r>
            <w:r>
              <w:rPr>
                <w:b/>
                <w:bCs/>
              </w:rPr>
              <w:t>:</w:t>
            </w:r>
            <w:r w:rsidR="00CD3A90">
              <w:rPr>
                <w:rFonts w:ascii="OpenDyslexic 3" w:hAnsi="OpenDyslexic 3"/>
              </w:rPr>
              <w:t xml:space="preserve"> there must be enough transparency to demonstrate fairness in allocating funds. Beyond this, I do not think that applicants would wish to be bogged down in the detail of this, and therefore it is not a significant barrier to entry.</w:t>
            </w:r>
          </w:p>
        </w:tc>
      </w:tr>
      <w:tr w:rsidR="000E0001" w14:paraId="3C894ABC" w14:textId="77777777" w:rsidTr="00E169A0">
        <w:trPr>
          <w:trHeight w:val="269"/>
        </w:trPr>
        <w:tc>
          <w:tcPr>
            <w:tcW w:w="9067" w:type="dxa"/>
            <w:vMerge/>
          </w:tcPr>
          <w:p w14:paraId="0F79539C" w14:textId="77777777" w:rsidR="000E0001" w:rsidRDefault="000E0001" w:rsidP="00E169A0"/>
        </w:tc>
      </w:tr>
      <w:tr w:rsidR="000E0001" w14:paraId="26CF14F8" w14:textId="77777777" w:rsidTr="00E169A0">
        <w:trPr>
          <w:trHeight w:val="269"/>
        </w:trPr>
        <w:tc>
          <w:tcPr>
            <w:tcW w:w="9067" w:type="dxa"/>
            <w:vMerge/>
          </w:tcPr>
          <w:p w14:paraId="7A04D793" w14:textId="77777777" w:rsidR="000E0001" w:rsidRDefault="000E0001" w:rsidP="00E169A0"/>
        </w:tc>
      </w:tr>
      <w:tr w:rsidR="000E0001" w14:paraId="2D9BBF58" w14:textId="77777777" w:rsidTr="00E169A0">
        <w:trPr>
          <w:trHeight w:val="269"/>
        </w:trPr>
        <w:tc>
          <w:tcPr>
            <w:tcW w:w="9067" w:type="dxa"/>
            <w:vMerge/>
          </w:tcPr>
          <w:p w14:paraId="71643D97" w14:textId="77777777" w:rsidR="000E0001" w:rsidRDefault="000E0001" w:rsidP="00E169A0"/>
        </w:tc>
      </w:tr>
    </w:tbl>
    <w:p w14:paraId="3A9C52C3" w14:textId="77777777" w:rsidR="000E0001" w:rsidRPr="000E0001" w:rsidRDefault="000E0001" w:rsidP="000E0001">
      <w:pPr>
        <w:rPr>
          <w:rFonts w:eastAsia="Calibri"/>
          <w:b/>
          <w:bCs/>
        </w:rPr>
      </w:pPr>
    </w:p>
    <w:p w14:paraId="3430A5FF" w14:textId="62B05228" w:rsidR="0031550E" w:rsidRPr="00D56638" w:rsidRDefault="003343E3" w:rsidP="003A01CA">
      <w:pPr>
        <w:pStyle w:val="Heading3"/>
        <w:numPr>
          <w:ilvl w:val="1"/>
          <w:numId w:val="22"/>
        </w:numPr>
      </w:pPr>
      <w:r w:rsidRPr="00D56638">
        <w:t>How w</w:t>
      </w:r>
      <w:r w:rsidR="00E767EA">
        <w:t>ould</w:t>
      </w:r>
      <w:r w:rsidRPr="00D56638">
        <w:t xml:space="preserve"> applications be </w:t>
      </w:r>
      <w:r w:rsidRPr="00D56638">
        <w:rPr>
          <w:b/>
          <w:bCs/>
        </w:rPr>
        <w:t>scored</w:t>
      </w:r>
      <w:r w:rsidR="0031550E" w:rsidRPr="00D56638">
        <w:t>?</w:t>
      </w:r>
    </w:p>
    <w:p w14:paraId="6E0ACD87" w14:textId="35F4D924" w:rsidR="00E767EA" w:rsidRDefault="00674BD8" w:rsidP="00B606D3">
      <w:pPr>
        <w:rPr>
          <w:rFonts w:cs="Arial"/>
          <w:color w:val="000000" w:themeColor="text1"/>
        </w:rPr>
      </w:pPr>
      <w:r w:rsidRPr="00B606D3">
        <w:rPr>
          <w:rFonts w:cs="Arial"/>
          <w:color w:val="000000" w:themeColor="text1"/>
        </w:rPr>
        <w:t xml:space="preserve">Applications for both </w:t>
      </w:r>
      <w:r w:rsidR="001D5CC2" w:rsidRPr="00B606D3">
        <w:rPr>
          <w:rFonts w:cs="Arial"/>
          <w:color w:val="000000" w:themeColor="text1"/>
        </w:rPr>
        <w:t xml:space="preserve">small and large grants will be </w:t>
      </w:r>
      <w:r w:rsidR="00F4369C" w:rsidRPr="00B606D3">
        <w:rPr>
          <w:rFonts w:cs="Arial"/>
          <w:color w:val="000000" w:themeColor="text1"/>
        </w:rPr>
        <w:t xml:space="preserve">dependent on </w:t>
      </w:r>
      <w:r w:rsidRPr="004D7DA1">
        <w:rPr>
          <w:rFonts w:cs="Arial"/>
          <w:color w:val="000000" w:themeColor="text1"/>
        </w:rPr>
        <w:t>vet advice</w:t>
      </w:r>
      <w:r w:rsidR="00822D64">
        <w:rPr>
          <w:rFonts w:cs="Arial"/>
          <w:color w:val="000000" w:themeColor="text1"/>
        </w:rPr>
        <w:t xml:space="preserve"> </w:t>
      </w:r>
      <w:r w:rsidR="00F9470E">
        <w:rPr>
          <w:rFonts w:cs="Arial"/>
          <w:color w:val="000000" w:themeColor="text1"/>
        </w:rPr>
        <w:t>to</w:t>
      </w:r>
      <w:r w:rsidR="00822D64">
        <w:rPr>
          <w:rFonts w:cs="Arial"/>
          <w:color w:val="000000" w:themeColor="text1"/>
        </w:rPr>
        <w:t xml:space="preserve"> ensure that farmers are making investments that best improve AHW and deliver our sector priorities</w:t>
      </w:r>
      <w:r w:rsidR="00F20396" w:rsidRPr="00B606D3">
        <w:rPr>
          <w:rFonts w:cs="Arial"/>
          <w:color w:val="000000" w:themeColor="text1"/>
        </w:rPr>
        <w:t xml:space="preserve">. </w:t>
      </w:r>
      <w:r w:rsidR="00B73F9D">
        <w:rPr>
          <w:rFonts w:cs="Arial"/>
          <w:color w:val="000000" w:themeColor="text1"/>
        </w:rPr>
        <w:t xml:space="preserve">However, </w:t>
      </w:r>
      <w:r w:rsidR="00B73F9D" w:rsidRPr="00F9470E">
        <w:rPr>
          <w:rFonts w:cs="Arial"/>
          <w:b/>
          <w:bCs/>
          <w:color w:val="000000" w:themeColor="text1"/>
        </w:rPr>
        <w:t>a s</w:t>
      </w:r>
      <w:r w:rsidRPr="00F9470E">
        <w:rPr>
          <w:rFonts w:cs="Arial"/>
          <w:b/>
          <w:bCs/>
          <w:color w:val="000000" w:themeColor="text1"/>
        </w:rPr>
        <w:t>coring</w:t>
      </w:r>
      <w:r w:rsidR="00B73F9D" w:rsidRPr="00F9470E">
        <w:rPr>
          <w:rFonts w:cs="Arial"/>
          <w:b/>
          <w:bCs/>
          <w:color w:val="000000" w:themeColor="text1"/>
        </w:rPr>
        <w:t xml:space="preserve"> system</w:t>
      </w:r>
      <w:r w:rsidR="00822D64" w:rsidRPr="00F9470E">
        <w:rPr>
          <w:rFonts w:cs="Arial"/>
          <w:b/>
          <w:bCs/>
          <w:color w:val="000000" w:themeColor="text1"/>
        </w:rPr>
        <w:t xml:space="preserve"> </w:t>
      </w:r>
      <w:r w:rsidR="00B73F9D" w:rsidRPr="00F9470E">
        <w:rPr>
          <w:rFonts w:cs="Arial"/>
          <w:b/>
          <w:bCs/>
          <w:color w:val="000000" w:themeColor="text1"/>
        </w:rPr>
        <w:t>need</w:t>
      </w:r>
      <w:r w:rsidR="00822D64" w:rsidRPr="00F9470E">
        <w:rPr>
          <w:rFonts w:cs="Arial"/>
          <w:b/>
          <w:bCs/>
          <w:color w:val="000000" w:themeColor="text1"/>
        </w:rPr>
        <w:t>s</w:t>
      </w:r>
      <w:r w:rsidR="00B73F9D" w:rsidRPr="00F9470E">
        <w:rPr>
          <w:rFonts w:cs="Arial"/>
          <w:b/>
          <w:bCs/>
          <w:color w:val="000000" w:themeColor="text1"/>
        </w:rPr>
        <w:t xml:space="preserve"> to be developed </w:t>
      </w:r>
      <w:r w:rsidR="00B73F9D" w:rsidRPr="00F9470E">
        <w:rPr>
          <w:rFonts w:cs="Arial"/>
          <w:b/>
          <w:bCs/>
          <w:i/>
          <w:iCs/>
          <w:color w:val="000000" w:themeColor="text1"/>
        </w:rPr>
        <w:t>if</w:t>
      </w:r>
      <w:r w:rsidR="00B73F9D" w:rsidRPr="00F9470E">
        <w:rPr>
          <w:rFonts w:cs="Arial"/>
          <w:b/>
          <w:bCs/>
          <w:color w:val="000000" w:themeColor="text1"/>
        </w:rPr>
        <w:t xml:space="preserve"> the schemes are</w:t>
      </w:r>
      <w:r w:rsidR="00A43CA7" w:rsidRPr="00F9470E">
        <w:rPr>
          <w:rFonts w:cs="Arial"/>
          <w:b/>
          <w:bCs/>
          <w:color w:val="000000" w:themeColor="text1"/>
        </w:rPr>
        <w:t xml:space="preserve"> </w:t>
      </w:r>
      <w:r w:rsidR="00F20396" w:rsidRPr="00F9470E">
        <w:rPr>
          <w:rFonts w:cs="Arial"/>
          <w:b/>
          <w:bCs/>
          <w:color w:val="000000" w:themeColor="text1"/>
        </w:rPr>
        <w:t>oversubscribed</w:t>
      </w:r>
      <w:r w:rsidR="00B73F9D">
        <w:rPr>
          <w:rFonts w:cs="Arial"/>
          <w:color w:val="000000" w:themeColor="text1"/>
        </w:rPr>
        <w:t xml:space="preserve">. </w:t>
      </w:r>
      <w:r w:rsidR="00E767EA">
        <w:rPr>
          <w:rFonts w:cs="Arial"/>
          <w:color w:val="000000" w:themeColor="text1"/>
        </w:rPr>
        <w:t xml:space="preserve">Limited work has been done on </w:t>
      </w:r>
      <w:r w:rsidR="00E767EA">
        <w:rPr>
          <w:rFonts w:cs="Arial"/>
          <w:color w:val="000000" w:themeColor="text1"/>
        </w:rPr>
        <w:lastRenderedPageBreak/>
        <w:t xml:space="preserve">‘scoring’ yet and this is </w:t>
      </w:r>
      <w:r w:rsidR="00F9470E">
        <w:rPr>
          <w:rFonts w:cs="Arial"/>
          <w:color w:val="000000" w:themeColor="text1"/>
        </w:rPr>
        <w:t xml:space="preserve">a </w:t>
      </w:r>
      <w:r w:rsidR="00E767EA">
        <w:rPr>
          <w:rFonts w:cs="Arial"/>
          <w:color w:val="000000" w:themeColor="text1"/>
        </w:rPr>
        <w:t>priority piece of work for co-design</w:t>
      </w:r>
      <w:r w:rsidR="00F9470E">
        <w:rPr>
          <w:rFonts w:cs="Arial"/>
          <w:color w:val="000000" w:themeColor="text1"/>
        </w:rPr>
        <w:t xml:space="preserve"> in</w:t>
      </w:r>
      <w:r w:rsidR="00E767EA">
        <w:rPr>
          <w:rFonts w:cs="Arial"/>
          <w:color w:val="000000" w:themeColor="text1"/>
        </w:rPr>
        <w:t xml:space="preserve"> the new year. </w:t>
      </w:r>
      <w:r w:rsidR="00F9470E">
        <w:rPr>
          <w:rFonts w:cs="Arial"/>
          <w:color w:val="000000" w:themeColor="text1"/>
        </w:rPr>
        <w:t xml:space="preserve">Below is a sketch of </w:t>
      </w:r>
      <w:r w:rsidR="00C80D09">
        <w:rPr>
          <w:rFonts w:cs="Arial"/>
          <w:color w:val="000000" w:themeColor="text1"/>
        </w:rPr>
        <w:t xml:space="preserve">how a scoring system might work (agnostic of whether we go with </w:t>
      </w:r>
      <w:r w:rsidR="00C80D09" w:rsidRPr="00C80D09">
        <w:rPr>
          <w:rFonts w:cs="Arial"/>
          <w:b/>
          <w:bCs/>
          <w:color w:val="000000" w:themeColor="text1"/>
        </w:rPr>
        <w:t>Option A or B</w:t>
      </w:r>
      <w:r w:rsidR="00C80D09">
        <w:rPr>
          <w:rFonts w:cs="Arial"/>
          <w:color w:val="000000" w:themeColor="text1"/>
        </w:rPr>
        <w:t>)</w:t>
      </w:r>
      <w:r w:rsidR="00E767EA">
        <w:rPr>
          <w:rFonts w:cs="Arial"/>
          <w:color w:val="000000" w:themeColor="text1"/>
        </w:rPr>
        <w:t>:</w:t>
      </w:r>
    </w:p>
    <w:p w14:paraId="3C48EE45" w14:textId="11284A7F" w:rsidR="00E767EA" w:rsidRDefault="00E767EA" w:rsidP="00F9470E">
      <w:pPr>
        <w:ind w:left="720"/>
        <w:rPr>
          <w:rFonts w:cs="Arial"/>
          <w:color w:val="000000" w:themeColor="text1"/>
        </w:rPr>
      </w:pPr>
      <w:r>
        <w:rPr>
          <w:rFonts w:cs="Arial"/>
          <w:color w:val="000000" w:themeColor="text1"/>
        </w:rPr>
        <w:t xml:space="preserve">For </w:t>
      </w:r>
      <w:r w:rsidRPr="00E767EA">
        <w:rPr>
          <w:rFonts w:cs="Arial"/>
          <w:b/>
          <w:bCs/>
          <w:color w:val="000000" w:themeColor="text1"/>
        </w:rPr>
        <w:t>small grants,</w:t>
      </w:r>
      <w:r>
        <w:rPr>
          <w:rFonts w:cs="Arial"/>
          <w:color w:val="000000" w:themeColor="text1"/>
        </w:rPr>
        <w:t xml:space="preserve"> each item </w:t>
      </w:r>
      <w:r w:rsidR="00F9470E">
        <w:rPr>
          <w:rFonts w:cs="Arial"/>
          <w:color w:val="000000" w:themeColor="text1"/>
        </w:rPr>
        <w:t>would</w:t>
      </w:r>
      <w:r>
        <w:rPr>
          <w:rFonts w:cs="Arial"/>
          <w:color w:val="000000" w:themeColor="text1"/>
        </w:rPr>
        <w:t xml:space="preserve"> receive a ‘score’ for </w:t>
      </w:r>
      <w:r w:rsidRPr="00E767EA">
        <w:rPr>
          <w:rFonts w:cs="Arial"/>
          <w:b/>
          <w:bCs/>
          <w:color w:val="000000" w:themeColor="text1"/>
        </w:rPr>
        <w:t>outcomes/benefits</w:t>
      </w:r>
      <w:r>
        <w:rPr>
          <w:rFonts w:cs="Arial"/>
          <w:color w:val="000000" w:themeColor="text1"/>
        </w:rPr>
        <w:t xml:space="preserve"> they deliver</w:t>
      </w:r>
      <w:r w:rsidR="00F9470E">
        <w:rPr>
          <w:rFonts w:cs="Arial"/>
          <w:color w:val="000000" w:themeColor="text1"/>
        </w:rPr>
        <w:t>. A</w:t>
      </w:r>
      <w:r>
        <w:rPr>
          <w:rFonts w:cs="Arial"/>
          <w:color w:val="000000" w:themeColor="text1"/>
        </w:rPr>
        <w:t>pplications with the highest average score w</w:t>
      </w:r>
      <w:r w:rsidR="00F9470E">
        <w:rPr>
          <w:rFonts w:cs="Arial"/>
          <w:color w:val="000000" w:themeColor="text1"/>
        </w:rPr>
        <w:t>ould</w:t>
      </w:r>
      <w:r>
        <w:rPr>
          <w:rFonts w:cs="Arial"/>
          <w:color w:val="000000" w:themeColor="text1"/>
        </w:rPr>
        <w:t xml:space="preserve"> be successful.</w:t>
      </w:r>
    </w:p>
    <w:p w14:paraId="55A65551" w14:textId="6AC962BD" w:rsidR="0031550E" w:rsidRPr="00E767EA" w:rsidRDefault="00822D64" w:rsidP="00F9470E">
      <w:pPr>
        <w:ind w:left="720"/>
        <w:rPr>
          <w:rFonts w:cs="Arial"/>
          <w:b/>
          <w:bCs/>
          <w:color w:val="000000" w:themeColor="text1"/>
        </w:rPr>
      </w:pPr>
      <w:r>
        <w:rPr>
          <w:rFonts w:cs="Arial"/>
          <w:color w:val="000000" w:themeColor="text1"/>
        </w:rPr>
        <w:t xml:space="preserve">For </w:t>
      </w:r>
      <w:r w:rsidR="00674BD8" w:rsidRPr="00E767EA">
        <w:rPr>
          <w:rFonts w:cs="Arial"/>
          <w:b/>
          <w:bCs/>
          <w:color w:val="000000" w:themeColor="text1"/>
        </w:rPr>
        <w:t>large grant</w:t>
      </w:r>
      <w:r w:rsidRPr="00E767EA">
        <w:rPr>
          <w:rFonts w:cs="Arial"/>
          <w:b/>
          <w:bCs/>
          <w:color w:val="000000" w:themeColor="text1"/>
        </w:rPr>
        <w:t>s</w:t>
      </w:r>
      <w:r>
        <w:rPr>
          <w:rFonts w:cs="Arial"/>
          <w:color w:val="000000" w:themeColor="text1"/>
        </w:rPr>
        <w:t xml:space="preserve">, </w:t>
      </w:r>
      <w:r w:rsidR="00E767EA">
        <w:rPr>
          <w:rFonts w:cs="Arial"/>
          <w:color w:val="000000" w:themeColor="text1"/>
        </w:rPr>
        <w:t xml:space="preserve">each infrastructure project </w:t>
      </w:r>
      <w:r w:rsidR="00F9470E">
        <w:rPr>
          <w:rFonts w:cs="Arial"/>
          <w:color w:val="000000" w:themeColor="text1"/>
        </w:rPr>
        <w:t>would</w:t>
      </w:r>
      <w:r w:rsidR="00E767EA">
        <w:rPr>
          <w:rFonts w:cs="Arial"/>
          <w:color w:val="000000" w:themeColor="text1"/>
        </w:rPr>
        <w:t xml:space="preserve"> </w:t>
      </w:r>
      <w:r w:rsidR="00F9470E">
        <w:rPr>
          <w:rFonts w:cs="Arial"/>
          <w:color w:val="000000" w:themeColor="text1"/>
        </w:rPr>
        <w:t xml:space="preserve">be </w:t>
      </w:r>
      <w:r w:rsidR="00E767EA">
        <w:rPr>
          <w:rFonts w:cs="Arial"/>
          <w:color w:val="000000" w:themeColor="text1"/>
        </w:rPr>
        <w:t>scored</w:t>
      </w:r>
      <w:r w:rsidR="00F9470E">
        <w:rPr>
          <w:rFonts w:cs="Arial"/>
          <w:color w:val="000000" w:themeColor="text1"/>
        </w:rPr>
        <w:t xml:space="preserve">, </w:t>
      </w:r>
      <w:r w:rsidR="00E767EA">
        <w:rPr>
          <w:rFonts w:cs="Arial"/>
          <w:color w:val="000000" w:themeColor="text1"/>
        </w:rPr>
        <w:t>primarily</w:t>
      </w:r>
      <w:r w:rsidR="00F9470E">
        <w:rPr>
          <w:rFonts w:cs="Arial"/>
          <w:color w:val="000000" w:themeColor="text1"/>
        </w:rPr>
        <w:t xml:space="preserve"> based</w:t>
      </w:r>
      <w:r w:rsidR="00E767EA">
        <w:rPr>
          <w:rFonts w:cs="Arial"/>
          <w:color w:val="000000" w:themeColor="text1"/>
        </w:rPr>
        <w:t xml:space="preserve"> on </w:t>
      </w:r>
      <w:r w:rsidR="00C80D09">
        <w:rPr>
          <w:rFonts w:cs="Arial"/>
          <w:color w:val="000000" w:themeColor="text1"/>
        </w:rPr>
        <w:t xml:space="preserve">1) </w:t>
      </w:r>
      <w:r w:rsidR="00E767EA">
        <w:rPr>
          <w:rFonts w:cs="Arial"/>
          <w:color w:val="000000" w:themeColor="text1"/>
        </w:rPr>
        <w:t xml:space="preserve">the </w:t>
      </w:r>
      <w:r w:rsidR="001D5CC2" w:rsidRPr="00B606D3">
        <w:rPr>
          <w:rFonts w:cs="Arial"/>
          <w:b/>
          <w:bCs/>
          <w:color w:val="000000" w:themeColor="text1"/>
        </w:rPr>
        <w:t>outcomes</w:t>
      </w:r>
      <w:r w:rsidR="00E767EA">
        <w:rPr>
          <w:rFonts w:cs="Arial"/>
          <w:b/>
          <w:bCs/>
          <w:color w:val="000000" w:themeColor="text1"/>
        </w:rPr>
        <w:t xml:space="preserve">/benefits </w:t>
      </w:r>
      <w:r w:rsidR="00C80D09">
        <w:rPr>
          <w:rFonts w:cs="Arial"/>
          <w:color w:val="000000" w:themeColor="text1"/>
        </w:rPr>
        <w:t>it</w:t>
      </w:r>
      <w:r w:rsidR="00E767EA">
        <w:rPr>
          <w:rFonts w:cs="Arial"/>
          <w:color w:val="000000" w:themeColor="text1"/>
        </w:rPr>
        <w:t xml:space="preserve"> deliver</w:t>
      </w:r>
      <w:r w:rsidR="00C80D09">
        <w:rPr>
          <w:rFonts w:cs="Arial"/>
          <w:color w:val="000000" w:themeColor="text1"/>
        </w:rPr>
        <w:t>s</w:t>
      </w:r>
      <w:r w:rsidR="00E767EA">
        <w:rPr>
          <w:rFonts w:cs="Arial"/>
          <w:color w:val="000000" w:themeColor="text1"/>
        </w:rPr>
        <w:t xml:space="preserve"> but also</w:t>
      </w:r>
      <w:r w:rsidR="00F9470E">
        <w:rPr>
          <w:rFonts w:cs="Arial"/>
          <w:color w:val="000000" w:themeColor="text1"/>
        </w:rPr>
        <w:t xml:space="preserve"> on</w:t>
      </w:r>
      <w:r w:rsidR="00E767EA">
        <w:rPr>
          <w:rFonts w:cs="Arial"/>
          <w:color w:val="000000" w:themeColor="text1"/>
        </w:rPr>
        <w:t xml:space="preserve"> 2) </w:t>
      </w:r>
      <w:r w:rsidR="00F4369C" w:rsidRPr="00B606D3">
        <w:rPr>
          <w:rFonts w:cs="Arial"/>
          <w:b/>
          <w:bCs/>
          <w:color w:val="000000" w:themeColor="text1"/>
        </w:rPr>
        <w:t>deliverability</w:t>
      </w:r>
      <w:r w:rsidR="00F4369C" w:rsidRPr="00B606D3">
        <w:rPr>
          <w:rFonts w:cs="Arial"/>
          <w:color w:val="000000" w:themeColor="text1"/>
        </w:rPr>
        <w:t xml:space="preserve"> (</w:t>
      </w:r>
      <w:proofErr w:type="spellStart"/>
      <w:r w:rsidR="00E767EA">
        <w:rPr>
          <w:rFonts w:cs="Arial"/>
          <w:color w:val="000000" w:themeColor="text1"/>
        </w:rPr>
        <w:t>eg</w:t>
      </w:r>
      <w:proofErr w:type="spellEnd"/>
      <w:r w:rsidR="00E767EA">
        <w:rPr>
          <w:rFonts w:cs="Arial"/>
          <w:color w:val="000000" w:themeColor="text1"/>
        </w:rPr>
        <w:t xml:space="preserve">, </w:t>
      </w:r>
      <w:r w:rsidR="00F9470E">
        <w:rPr>
          <w:rFonts w:cs="Arial"/>
          <w:color w:val="000000" w:themeColor="text1"/>
        </w:rPr>
        <w:t>whether</w:t>
      </w:r>
      <w:r w:rsidR="00F4369C" w:rsidRPr="00B606D3">
        <w:rPr>
          <w:rFonts w:cs="Arial"/>
          <w:color w:val="000000" w:themeColor="text1"/>
        </w:rPr>
        <w:t xml:space="preserve"> planning permission in place) and</w:t>
      </w:r>
      <w:r w:rsidR="00F9470E">
        <w:rPr>
          <w:rFonts w:cs="Arial"/>
          <w:color w:val="000000" w:themeColor="text1"/>
        </w:rPr>
        <w:t xml:space="preserve"> on</w:t>
      </w:r>
      <w:r w:rsidR="00E767EA">
        <w:rPr>
          <w:rFonts w:cs="Arial"/>
          <w:color w:val="000000" w:themeColor="text1"/>
        </w:rPr>
        <w:t xml:space="preserve"> 3) </w:t>
      </w:r>
      <w:r w:rsidR="00C80D09">
        <w:rPr>
          <w:rFonts w:cs="Arial"/>
          <w:b/>
          <w:bCs/>
          <w:color w:val="000000" w:themeColor="text1"/>
        </w:rPr>
        <w:t>costs</w:t>
      </w:r>
      <w:r w:rsidR="00C80D09">
        <w:rPr>
          <w:rFonts w:cs="Arial"/>
          <w:color w:val="000000" w:themeColor="text1"/>
        </w:rPr>
        <w:t xml:space="preserve"> (</w:t>
      </w:r>
      <w:proofErr w:type="spellStart"/>
      <w:r w:rsidR="00C80D09">
        <w:rPr>
          <w:rFonts w:cs="Arial"/>
          <w:color w:val="000000" w:themeColor="text1"/>
        </w:rPr>
        <w:t>eg</w:t>
      </w:r>
      <w:proofErr w:type="spellEnd"/>
      <w:r w:rsidR="00C80D09">
        <w:rPr>
          <w:rFonts w:cs="Arial"/>
          <w:color w:val="000000" w:themeColor="text1"/>
        </w:rPr>
        <w:t xml:space="preserve">, </w:t>
      </w:r>
      <w:r w:rsidR="00F9470E">
        <w:rPr>
          <w:rFonts w:cs="Arial"/>
          <w:color w:val="000000" w:themeColor="text1"/>
        </w:rPr>
        <w:t>whether there is</w:t>
      </w:r>
      <w:r w:rsidR="00C80D09">
        <w:rPr>
          <w:rFonts w:cs="Arial"/>
          <w:color w:val="000000" w:themeColor="text1"/>
        </w:rPr>
        <w:t xml:space="preserve"> good evidence/certainty over costs such as quotes)</w:t>
      </w:r>
      <w:r w:rsidR="00E767EA">
        <w:rPr>
          <w:rFonts w:cs="Arial"/>
          <w:color w:val="000000" w:themeColor="text1"/>
        </w:rPr>
        <w:t xml:space="preserve"> </w:t>
      </w:r>
    </w:p>
    <w:p w14:paraId="0B92A583" w14:textId="5FD695DC" w:rsidR="003065E4" w:rsidRPr="00F9470E" w:rsidRDefault="00C80D09" w:rsidP="00F9470E">
      <w:pPr>
        <w:ind w:left="720"/>
        <w:rPr>
          <w:rFonts w:cs="Arial"/>
          <w:i/>
          <w:iCs/>
          <w:color w:val="000000" w:themeColor="text1"/>
        </w:rPr>
      </w:pPr>
      <w:r w:rsidRPr="004D7DA1">
        <w:rPr>
          <w:rFonts w:cs="Arial"/>
          <w:color w:val="000000" w:themeColor="text1"/>
        </w:rPr>
        <w:t>We could consider other applicant-specific criteria such as whether they have completed an</w:t>
      </w:r>
      <w:r w:rsidRPr="00F9470E">
        <w:rPr>
          <w:rFonts w:cs="Arial"/>
          <w:i/>
          <w:iCs/>
          <w:color w:val="000000" w:themeColor="text1"/>
        </w:rPr>
        <w:t xml:space="preserve"> </w:t>
      </w:r>
      <w:r w:rsidRPr="004D7DA1">
        <w:rPr>
          <w:rFonts w:cs="Arial"/>
          <w:color w:val="000000" w:themeColor="text1"/>
        </w:rPr>
        <w:t>AHWR or not, size/type of farm, means testing etc.</w:t>
      </w:r>
    </w:p>
    <w:p w14:paraId="6930626C" w14:textId="47A8475C" w:rsidR="00C80D09" w:rsidRDefault="00C80D09" w:rsidP="00B606D3">
      <w:pPr>
        <w:rPr>
          <w:rFonts w:cs="Arial"/>
          <w:b/>
          <w:bCs/>
          <w:color w:val="000000" w:themeColor="text1"/>
        </w:rPr>
      </w:pPr>
      <w:r>
        <w:rPr>
          <w:rFonts w:cs="Arial"/>
          <w:color w:val="000000" w:themeColor="text1"/>
        </w:rPr>
        <w:t xml:space="preserve">If we go with </w:t>
      </w:r>
      <w:r w:rsidRPr="004B6EE2">
        <w:rPr>
          <w:rFonts w:cs="Arial"/>
          <w:b/>
          <w:bCs/>
          <w:color w:val="000000" w:themeColor="text1"/>
        </w:rPr>
        <w:t>Option</w:t>
      </w:r>
      <w:r w:rsidR="00217693" w:rsidRPr="004B6EE2">
        <w:rPr>
          <w:rFonts w:cs="Arial"/>
          <w:b/>
          <w:bCs/>
          <w:color w:val="000000" w:themeColor="text1"/>
        </w:rPr>
        <w:t xml:space="preserve"> A</w:t>
      </w:r>
      <w:r w:rsidR="00217693">
        <w:rPr>
          <w:rFonts w:cs="Arial"/>
          <w:color w:val="000000" w:themeColor="text1"/>
        </w:rPr>
        <w:t xml:space="preserve">, </w:t>
      </w:r>
      <w:r w:rsidR="004B6EE2">
        <w:rPr>
          <w:rFonts w:cs="Arial"/>
          <w:color w:val="000000" w:themeColor="text1"/>
        </w:rPr>
        <w:t xml:space="preserve">we would be able </w:t>
      </w:r>
      <w:r w:rsidR="00EB5C7C">
        <w:rPr>
          <w:rFonts w:cs="Arial"/>
          <w:color w:val="000000" w:themeColor="text1"/>
        </w:rPr>
        <w:t>to</w:t>
      </w:r>
      <w:r w:rsidR="004B6EE2">
        <w:rPr>
          <w:rFonts w:cs="Arial"/>
          <w:color w:val="000000" w:themeColor="text1"/>
        </w:rPr>
        <w:t xml:space="preserve"> develop an AHW-</w:t>
      </w:r>
      <w:r w:rsidR="00F9470E">
        <w:rPr>
          <w:rFonts w:cs="Arial"/>
          <w:color w:val="000000" w:themeColor="text1"/>
        </w:rPr>
        <w:t>focused</w:t>
      </w:r>
      <w:r w:rsidR="004B6EE2">
        <w:rPr>
          <w:rFonts w:cs="Arial"/>
          <w:color w:val="000000" w:themeColor="text1"/>
        </w:rPr>
        <w:t xml:space="preserve"> scoring system. This would </w:t>
      </w:r>
      <w:r w:rsidR="00F9470E">
        <w:rPr>
          <w:rFonts w:cs="Arial"/>
          <w:color w:val="000000" w:themeColor="text1"/>
        </w:rPr>
        <w:t>be weighted towards scoring for</w:t>
      </w:r>
      <w:r w:rsidR="004B6EE2">
        <w:rPr>
          <w:rFonts w:cs="Arial"/>
          <w:color w:val="000000" w:themeColor="text1"/>
        </w:rPr>
        <w:t xml:space="preserve"> </w:t>
      </w:r>
      <w:r w:rsidR="00300988">
        <w:rPr>
          <w:rFonts w:cs="Arial"/>
          <w:color w:val="000000" w:themeColor="text1"/>
        </w:rPr>
        <w:t xml:space="preserve">AHW benefits and the sector priorities </w:t>
      </w:r>
      <w:r w:rsidR="004B6EE2">
        <w:rPr>
          <w:rFonts w:cs="Arial"/>
          <w:color w:val="000000" w:themeColor="text1"/>
        </w:rPr>
        <w:t xml:space="preserve">but </w:t>
      </w:r>
      <w:r w:rsidR="00300988">
        <w:rPr>
          <w:rFonts w:cs="Arial"/>
          <w:color w:val="000000" w:themeColor="text1"/>
        </w:rPr>
        <w:t>should</w:t>
      </w:r>
      <w:r w:rsidR="004B6EE2">
        <w:rPr>
          <w:rFonts w:cs="Arial"/>
          <w:color w:val="000000" w:themeColor="text1"/>
        </w:rPr>
        <w:t xml:space="preserve"> also consider </w:t>
      </w:r>
      <w:r w:rsidR="004B6EE2" w:rsidRPr="00AF4873">
        <w:rPr>
          <w:rFonts w:cs="Arial"/>
          <w:color w:val="000000" w:themeColor="text1"/>
        </w:rPr>
        <w:t>productivity and environment criteria</w:t>
      </w:r>
      <w:r w:rsidR="00300988">
        <w:rPr>
          <w:rFonts w:cs="Arial"/>
          <w:color w:val="000000" w:themeColor="text1"/>
        </w:rPr>
        <w:t xml:space="preserve"> to some extent</w:t>
      </w:r>
      <w:r w:rsidR="004B6EE2" w:rsidRPr="00AF4873">
        <w:rPr>
          <w:rFonts w:cs="Arial"/>
          <w:color w:val="000000" w:themeColor="text1"/>
        </w:rPr>
        <w:t>.</w:t>
      </w:r>
    </w:p>
    <w:p w14:paraId="0ABAFD8D" w14:textId="649D2D51" w:rsidR="004B6EE2" w:rsidRDefault="004B6EE2" w:rsidP="006427E2">
      <w:pPr>
        <w:spacing w:after="0"/>
        <w:rPr>
          <w:rFonts w:cs="Arial"/>
          <w:color w:val="000000" w:themeColor="text1"/>
        </w:rPr>
      </w:pPr>
      <w:r w:rsidRPr="004B6EE2">
        <w:rPr>
          <w:rFonts w:cs="Arial"/>
          <w:color w:val="000000" w:themeColor="text1"/>
        </w:rPr>
        <w:t>If we go with</w:t>
      </w:r>
      <w:r>
        <w:rPr>
          <w:rFonts w:cs="Arial"/>
          <w:b/>
          <w:bCs/>
          <w:color w:val="000000" w:themeColor="text1"/>
        </w:rPr>
        <w:t xml:space="preserve"> Option B, </w:t>
      </w:r>
      <w:r w:rsidRPr="004B6EE2">
        <w:rPr>
          <w:rFonts w:cs="Arial"/>
          <w:color w:val="000000" w:themeColor="text1"/>
        </w:rPr>
        <w:t>scoring becomes more complex as there a</w:t>
      </w:r>
      <w:r>
        <w:rPr>
          <w:rFonts w:cs="Arial"/>
          <w:color w:val="000000" w:themeColor="text1"/>
        </w:rPr>
        <w:t>re</w:t>
      </w:r>
      <w:r w:rsidRPr="004B6EE2">
        <w:rPr>
          <w:rFonts w:cs="Arial"/>
          <w:color w:val="000000" w:themeColor="text1"/>
        </w:rPr>
        <w:t xml:space="preserve"> multiple ways in which scoring could be done to </w:t>
      </w:r>
      <w:r w:rsidR="00300988">
        <w:rPr>
          <w:rFonts w:cs="Arial"/>
          <w:color w:val="000000" w:themeColor="text1"/>
        </w:rPr>
        <w:t xml:space="preserve">balance </w:t>
      </w:r>
      <w:r w:rsidRPr="004B6EE2">
        <w:rPr>
          <w:rFonts w:cs="Arial"/>
          <w:color w:val="000000" w:themeColor="text1"/>
        </w:rPr>
        <w:t>AHW, productivity and environment criteria.</w:t>
      </w:r>
      <w:r>
        <w:rPr>
          <w:rFonts w:cs="Arial"/>
          <w:b/>
          <w:bCs/>
          <w:color w:val="000000" w:themeColor="text1"/>
        </w:rPr>
        <w:t xml:space="preserve"> </w:t>
      </w:r>
      <w:r w:rsidR="000C4F0B">
        <w:rPr>
          <w:rFonts w:cs="Arial"/>
          <w:color w:val="000000" w:themeColor="text1"/>
        </w:rPr>
        <w:t xml:space="preserve">A scoring system for an </w:t>
      </w:r>
      <w:r w:rsidR="000C4F0B" w:rsidRPr="00EB5C7C">
        <w:rPr>
          <w:rFonts w:cs="Arial"/>
          <w:b/>
          <w:bCs/>
          <w:color w:val="000000" w:themeColor="text1"/>
        </w:rPr>
        <w:t xml:space="preserve">integrated </w:t>
      </w:r>
      <w:r w:rsidR="00EB5C7C" w:rsidRPr="00EB5C7C">
        <w:rPr>
          <w:rFonts w:cs="Arial"/>
          <w:b/>
          <w:bCs/>
          <w:color w:val="000000" w:themeColor="text1"/>
        </w:rPr>
        <w:t xml:space="preserve">small grants </w:t>
      </w:r>
      <w:r w:rsidR="000C4F0B" w:rsidRPr="00EB5C7C">
        <w:rPr>
          <w:rFonts w:cs="Arial"/>
          <w:b/>
          <w:bCs/>
          <w:color w:val="000000" w:themeColor="text1"/>
        </w:rPr>
        <w:t>list</w:t>
      </w:r>
      <w:r w:rsidR="000C4F0B">
        <w:rPr>
          <w:rFonts w:cs="Arial"/>
          <w:color w:val="000000" w:themeColor="text1"/>
        </w:rPr>
        <w:t xml:space="preserve"> </w:t>
      </w:r>
      <w:r w:rsidR="00300988">
        <w:rPr>
          <w:rFonts w:cs="Arial"/>
          <w:color w:val="000000" w:themeColor="text1"/>
        </w:rPr>
        <w:t>may require the</w:t>
      </w:r>
      <w:r w:rsidR="003F2BEF">
        <w:rPr>
          <w:rFonts w:cs="Arial"/>
          <w:color w:val="000000" w:themeColor="text1"/>
        </w:rPr>
        <w:t xml:space="preserve"> following</w:t>
      </w:r>
      <w:r w:rsidR="00AF4873">
        <w:rPr>
          <w:rFonts w:cs="Arial"/>
          <w:color w:val="000000" w:themeColor="text1"/>
        </w:rPr>
        <w:t xml:space="preserve"> steps:</w:t>
      </w:r>
    </w:p>
    <w:p w14:paraId="32A9E1F5" w14:textId="7AEA78E5" w:rsidR="00AF4873" w:rsidRPr="000C4F0B" w:rsidRDefault="00300988" w:rsidP="000C4F0B">
      <w:pPr>
        <w:pStyle w:val="ListParagraph"/>
        <w:numPr>
          <w:ilvl w:val="0"/>
          <w:numId w:val="24"/>
        </w:numPr>
        <w:rPr>
          <w:rFonts w:cs="Arial"/>
          <w:color w:val="000000" w:themeColor="text1"/>
        </w:rPr>
      </w:pPr>
      <w:r>
        <w:rPr>
          <w:rFonts w:cs="Arial"/>
          <w:color w:val="000000" w:themeColor="text1"/>
        </w:rPr>
        <w:t xml:space="preserve">Each </w:t>
      </w:r>
      <w:r w:rsidR="00AF4873" w:rsidRPr="000C4F0B">
        <w:rPr>
          <w:rFonts w:cs="Arial"/>
          <w:color w:val="000000" w:themeColor="text1"/>
        </w:rPr>
        <w:t xml:space="preserve">item </w:t>
      </w:r>
      <w:r>
        <w:rPr>
          <w:rFonts w:cs="Arial"/>
          <w:color w:val="000000" w:themeColor="text1"/>
        </w:rPr>
        <w:t>requires a score each for its</w:t>
      </w:r>
      <w:r w:rsidR="00AF4873" w:rsidRPr="000C4F0B">
        <w:rPr>
          <w:rFonts w:cs="Arial"/>
          <w:color w:val="000000" w:themeColor="text1"/>
        </w:rPr>
        <w:t xml:space="preserve"> AHW, productivity and environment benefit</w:t>
      </w:r>
      <w:r>
        <w:rPr>
          <w:rFonts w:cs="Arial"/>
          <w:color w:val="000000" w:themeColor="text1"/>
        </w:rPr>
        <w:t>s</w:t>
      </w:r>
    </w:p>
    <w:p w14:paraId="439A4C44" w14:textId="2F4601C9" w:rsidR="00E726EA" w:rsidRPr="000C4F0B" w:rsidRDefault="00300988" w:rsidP="000C4F0B">
      <w:pPr>
        <w:pStyle w:val="ListParagraph"/>
        <w:numPr>
          <w:ilvl w:val="0"/>
          <w:numId w:val="24"/>
        </w:numPr>
        <w:rPr>
          <w:rFonts w:cs="Arial"/>
          <w:color w:val="000000" w:themeColor="text1"/>
        </w:rPr>
      </w:pPr>
      <w:r>
        <w:rPr>
          <w:rFonts w:cs="Arial"/>
          <w:color w:val="000000" w:themeColor="text1"/>
        </w:rPr>
        <w:t>E</w:t>
      </w:r>
      <w:r w:rsidR="00AF4873" w:rsidRPr="000C4F0B">
        <w:rPr>
          <w:rFonts w:cs="Arial"/>
          <w:color w:val="000000" w:themeColor="text1"/>
        </w:rPr>
        <w:t xml:space="preserve">ach item </w:t>
      </w:r>
      <w:r>
        <w:rPr>
          <w:rFonts w:cs="Arial"/>
          <w:color w:val="000000" w:themeColor="text1"/>
        </w:rPr>
        <w:t xml:space="preserve">is assigned </w:t>
      </w:r>
      <w:r w:rsidR="003F2BEF">
        <w:rPr>
          <w:rFonts w:cs="Arial"/>
          <w:color w:val="000000" w:themeColor="text1"/>
        </w:rPr>
        <w:t xml:space="preserve">to </w:t>
      </w:r>
      <w:r>
        <w:rPr>
          <w:rFonts w:cs="Arial"/>
          <w:color w:val="000000" w:themeColor="text1"/>
        </w:rPr>
        <w:t>a funding pot (</w:t>
      </w:r>
      <w:proofErr w:type="spellStart"/>
      <w:r>
        <w:rPr>
          <w:rFonts w:cs="Arial"/>
          <w:color w:val="000000" w:themeColor="text1"/>
        </w:rPr>
        <w:t>eg</w:t>
      </w:r>
      <w:proofErr w:type="spellEnd"/>
      <w:r>
        <w:rPr>
          <w:rFonts w:cs="Arial"/>
          <w:color w:val="000000" w:themeColor="text1"/>
        </w:rPr>
        <w:t>, AHW budget). This could be</w:t>
      </w:r>
      <w:r w:rsidR="003F2BEF">
        <w:rPr>
          <w:rFonts w:cs="Arial"/>
          <w:color w:val="000000" w:themeColor="text1"/>
        </w:rPr>
        <w:t xml:space="preserve"> </w:t>
      </w:r>
      <w:r w:rsidR="00AF4873" w:rsidRPr="000C4F0B">
        <w:rPr>
          <w:rFonts w:cs="Arial"/>
          <w:color w:val="000000" w:themeColor="text1"/>
        </w:rPr>
        <w:t xml:space="preserve">based on its </w:t>
      </w:r>
      <w:r>
        <w:rPr>
          <w:rFonts w:cs="Arial"/>
          <w:color w:val="000000" w:themeColor="text1"/>
        </w:rPr>
        <w:t>‘primary</w:t>
      </w:r>
      <w:r w:rsidR="00AF4873" w:rsidRPr="000C4F0B">
        <w:rPr>
          <w:rFonts w:cs="Arial"/>
          <w:color w:val="000000" w:themeColor="text1"/>
        </w:rPr>
        <w:t xml:space="preserve"> benefit’ </w:t>
      </w:r>
      <w:r w:rsidR="00AF4873" w:rsidRPr="000C4F0B">
        <w:rPr>
          <w:rFonts w:cs="Arial"/>
          <w:i/>
          <w:iCs/>
          <w:color w:val="000000" w:themeColor="text1"/>
        </w:rPr>
        <w:t xml:space="preserve">OR </w:t>
      </w:r>
      <w:r>
        <w:rPr>
          <w:rFonts w:cs="Arial"/>
          <w:color w:val="000000" w:themeColor="text1"/>
        </w:rPr>
        <w:t xml:space="preserve">funding could be </w:t>
      </w:r>
      <w:r w:rsidR="00AF4873" w:rsidRPr="000C4F0B">
        <w:rPr>
          <w:rFonts w:cs="Arial"/>
          <w:color w:val="000000" w:themeColor="text1"/>
        </w:rPr>
        <w:t>weight</w:t>
      </w:r>
      <w:r>
        <w:rPr>
          <w:rFonts w:cs="Arial"/>
          <w:color w:val="000000" w:themeColor="text1"/>
        </w:rPr>
        <w:t>ed</w:t>
      </w:r>
      <w:r w:rsidR="003F2BEF">
        <w:rPr>
          <w:rFonts w:cs="Arial"/>
          <w:color w:val="000000" w:themeColor="text1"/>
        </w:rPr>
        <w:t xml:space="preserve"> </w:t>
      </w:r>
      <w:r w:rsidR="00AF4873" w:rsidRPr="000C4F0B">
        <w:rPr>
          <w:rFonts w:cs="Arial"/>
          <w:color w:val="000000" w:themeColor="text1"/>
        </w:rPr>
        <w:t xml:space="preserve">based on relative </w:t>
      </w:r>
      <w:r w:rsidR="00E726EA" w:rsidRPr="000C4F0B">
        <w:rPr>
          <w:rFonts w:cs="Arial"/>
          <w:color w:val="000000" w:themeColor="text1"/>
        </w:rPr>
        <w:t>AHW, productivity and environment score</w:t>
      </w:r>
    </w:p>
    <w:p w14:paraId="0B620809" w14:textId="41DB55E4" w:rsidR="003F2BEF" w:rsidRDefault="00300988" w:rsidP="003F2BEF">
      <w:pPr>
        <w:pStyle w:val="ListParagraph"/>
        <w:numPr>
          <w:ilvl w:val="0"/>
          <w:numId w:val="24"/>
        </w:numPr>
        <w:rPr>
          <w:rFonts w:cs="Arial"/>
          <w:color w:val="000000" w:themeColor="text1"/>
        </w:rPr>
      </w:pPr>
      <w:r>
        <w:rPr>
          <w:rFonts w:cs="Arial"/>
          <w:color w:val="000000" w:themeColor="text1"/>
        </w:rPr>
        <w:t xml:space="preserve">Each application is assigned a </w:t>
      </w:r>
      <w:r w:rsidR="00E726EA" w:rsidRPr="000C4F0B">
        <w:rPr>
          <w:rFonts w:cs="Arial"/>
          <w:color w:val="000000" w:themeColor="text1"/>
        </w:rPr>
        <w:t xml:space="preserve">fully-blended score </w:t>
      </w:r>
      <w:r>
        <w:rPr>
          <w:rFonts w:cs="Arial"/>
          <w:color w:val="000000" w:themeColor="text1"/>
        </w:rPr>
        <w:t>(</w:t>
      </w:r>
      <w:proofErr w:type="spellStart"/>
      <w:r>
        <w:rPr>
          <w:rFonts w:cs="Arial"/>
          <w:color w:val="000000" w:themeColor="text1"/>
        </w:rPr>
        <w:t>ie</w:t>
      </w:r>
      <w:proofErr w:type="spellEnd"/>
      <w:r>
        <w:rPr>
          <w:rFonts w:cs="Arial"/>
          <w:color w:val="000000" w:themeColor="text1"/>
        </w:rPr>
        <w:t>, s</w:t>
      </w:r>
      <w:r w:rsidR="00EB5C7C">
        <w:rPr>
          <w:rFonts w:cs="Arial"/>
          <w:color w:val="000000" w:themeColor="text1"/>
        </w:rPr>
        <w:t>imply</w:t>
      </w:r>
      <w:r>
        <w:rPr>
          <w:rFonts w:cs="Arial"/>
          <w:color w:val="000000" w:themeColor="text1"/>
        </w:rPr>
        <w:t xml:space="preserve"> summing up item scores) </w:t>
      </w:r>
      <w:r w:rsidR="00E726EA" w:rsidRPr="000C4F0B">
        <w:rPr>
          <w:rFonts w:cs="Arial"/>
          <w:i/>
          <w:iCs/>
          <w:color w:val="000000" w:themeColor="text1"/>
        </w:rPr>
        <w:t xml:space="preserve">OR </w:t>
      </w:r>
      <w:r>
        <w:rPr>
          <w:rFonts w:cs="Arial"/>
          <w:color w:val="000000" w:themeColor="text1"/>
        </w:rPr>
        <w:t>each application receives a</w:t>
      </w:r>
      <w:r w:rsidR="00E726EA" w:rsidRPr="000C4F0B">
        <w:rPr>
          <w:rFonts w:cs="Arial"/>
          <w:color w:val="000000" w:themeColor="text1"/>
        </w:rPr>
        <w:t xml:space="preserve"> separate AHW, productivity and environmental score to take </w:t>
      </w:r>
      <w:r w:rsidR="00EB5C7C">
        <w:rPr>
          <w:rFonts w:cs="Arial"/>
          <w:color w:val="000000" w:themeColor="text1"/>
        </w:rPr>
        <w:t xml:space="preserve">a </w:t>
      </w:r>
      <w:r w:rsidR="00E726EA" w:rsidRPr="000C4F0B">
        <w:rPr>
          <w:rFonts w:cs="Arial"/>
          <w:color w:val="000000" w:themeColor="text1"/>
        </w:rPr>
        <w:t>separate decision</w:t>
      </w:r>
      <w:r w:rsidR="00EB5C7C">
        <w:rPr>
          <w:rFonts w:cs="Arial"/>
          <w:color w:val="000000" w:themeColor="text1"/>
        </w:rPr>
        <w:t xml:space="preserve"> </w:t>
      </w:r>
      <w:r w:rsidR="00E726EA" w:rsidRPr="000C4F0B">
        <w:rPr>
          <w:rFonts w:cs="Arial"/>
          <w:color w:val="000000" w:themeColor="text1"/>
        </w:rPr>
        <w:t xml:space="preserve">on </w:t>
      </w:r>
      <w:r w:rsidR="00EB5C7C">
        <w:rPr>
          <w:rFonts w:cs="Arial"/>
          <w:color w:val="000000" w:themeColor="text1"/>
        </w:rPr>
        <w:t xml:space="preserve">whether to fund, </w:t>
      </w:r>
      <w:proofErr w:type="spellStart"/>
      <w:r w:rsidR="00EB5C7C">
        <w:rPr>
          <w:rFonts w:cs="Arial"/>
          <w:color w:val="000000" w:themeColor="text1"/>
        </w:rPr>
        <w:t>eg</w:t>
      </w:r>
      <w:proofErr w:type="spellEnd"/>
      <w:r w:rsidR="00EB5C7C">
        <w:rPr>
          <w:rFonts w:cs="Arial"/>
          <w:color w:val="000000" w:themeColor="text1"/>
        </w:rPr>
        <w:t xml:space="preserve">, the ‘AHW </w:t>
      </w:r>
      <w:proofErr w:type="gramStart"/>
      <w:r w:rsidR="00EB5C7C">
        <w:rPr>
          <w:rFonts w:cs="Arial"/>
          <w:color w:val="000000" w:themeColor="text1"/>
        </w:rPr>
        <w:t>items’</w:t>
      </w:r>
      <w:proofErr w:type="gramEnd"/>
      <w:r w:rsidR="003F2BEF">
        <w:rPr>
          <w:rFonts w:cs="Arial"/>
          <w:color w:val="000000" w:themeColor="text1"/>
        </w:rPr>
        <w:t>.</w:t>
      </w:r>
      <w:r w:rsidR="00AF4873" w:rsidRPr="000C4F0B">
        <w:rPr>
          <w:rFonts w:cs="Arial"/>
          <w:color w:val="000000" w:themeColor="text1"/>
        </w:rPr>
        <w:tab/>
      </w:r>
    </w:p>
    <w:p w14:paraId="7CE2D85F" w14:textId="77777777" w:rsidR="00420E2A" w:rsidRPr="00420E2A" w:rsidRDefault="00420E2A" w:rsidP="00420E2A">
      <w:pPr>
        <w:pStyle w:val="ListParagraph"/>
        <w:rPr>
          <w:rFonts w:cs="Arial"/>
          <w:color w:val="000000" w:themeColor="text1"/>
        </w:rPr>
      </w:pPr>
    </w:p>
    <w:p w14:paraId="1D490346" w14:textId="6D74565D" w:rsidR="00E26646" w:rsidRDefault="003F2BEF" w:rsidP="00EB5C7C">
      <w:pPr>
        <w:spacing w:after="0"/>
        <w:rPr>
          <w:rFonts w:cs="Arial"/>
          <w:color w:val="000000" w:themeColor="text1"/>
        </w:rPr>
      </w:pPr>
      <w:r>
        <w:rPr>
          <w:rFonts w:cs="Arial"/>
          <w:color w:val="000000" w:themeColor="text1"/>
        </w:rPr>
        <w:t>The scoring system could have significant influence on</w:t>
      </w:r>
      <w:r w:rsidR="00EB5C7C">
        <w:rPr>
          <w:rFonts w:cs="Arial"/>
          <w:color w:val="000000" w:themeColor="text1"/>
        </w:rPr>
        <w:t xml:space="preserve"> the n</w:t>
      </w:r>
      <w:r>
        <w:rPr>
          <w:rFonts w:cs="Arial"/>
          <w:color w:val="000000" w:themeColor="text1"/>
        </w:rPr>
        <w:t>umber</w:t>
      </w:r>
      <w:r w:rsidR="00420E2A">
        <w:rPr>
          <w:rFonts w:cs="Arial"/>
          <w:color w:val="000000" w:themeColor="text1"/>
        </w:rPr>
        <w:t xml:space="preserve"> </w:t>
      </w:r>
      <w:r w:rsidR="00EB5C7C">
        <w:rPr>
          <w:rFonts w:cs="Arial"/>
          <w:color w:val="000000" w:themeColor="text1"/>
        </w:rPr>
        <w:t xml:space="preserve">and type </w:t>
      </w:r>
      <w:r w:rsidR="00420E2A">
        <w:rPr>
          <w:rFonts w:cs="Arial"/>
          <w:color w:val="000000" w:themeColor="text1"/>
        </w:rPr>
        <w:t>of AHW items applied for</w:t>
      </w:r>
      <w:r w:rsidR="00EB5C7C">
        <w:rPr>
          <w:rFonts w:cs="Arial"/>
          <w:color w:val="000000" w:themeColor="text1"/>
        </w:rPr>
        <w:t xml:space="preserve"> </w:t>
      </w:r>
      <w:r w:rsidR="00420E2A">
        <w:rPr>
          <w:rFonts w:cs="Arial"/>
          <w:color w:val="000000" w:themeColor="text1"/>
        </w:rPr>
        <w:t xml:space="preserve">and </w:t>
      </w:r>
      <w:r w:rsidR="00EB5C7C">
        <w:rPr>
          <w:rFonts w:cs="Arial"/>
          <w:color w:val="000000" w:themeColor="text1"/>
        </w:rPr>
        <w:t xml:space="preserve">the number </w:t>
      </w:r>
      <w:r w:rsidR="00420E2A">
        <w:rPr>
          <w:rFonts w:cs="Arial"/>
          <w:color w:val="000000" w:themeColor="text1"/>
        </w:rPr>
        <w:t>of AHW items which are part of successful applications</w:t>
      </w:r>
      <w:r w:rsidR="00EB5C7C">
        <w:rPr>
          <w:rFonts w:cs="Arial"/>
          <w:color w:val="000000" w:themeColor="text1"/>
        </w:rPr>
        <w:t xml:space="preserve">. This could impact the AHW benefits delivered. While it is possible in </w:t>
      </w:r>
      <w:r w:rsidR="00EB5C7C" w:rsidRPr="00EB5C7C">
        <w:rPr>
          <w:rFonts w:cs="Arial"/>
          <w:b/>
          <w:bCs/>
          <w:color w:val="000000" w:themeColor="text1"/>
        </w:rPr>
        <w:t>Option B</w:t>
      </w:r>
      <w:r w:rsidR="00EB5C7C">
        <w:rPr>
          <w:rFonts w:cs="Arial"/>
          <w:color w:val="000000" w:themeColor="text1"/>
        </w:rPr>
        <w:t xml:space="preserve"> </w:t>
      </w:r>
      <w:r w:rsidR="00420E2A">
        <w:rPr>
          <w:rFonts w:cs="Arial"/>
          <w:color w:val="000000" w:themeColor="text1"/>
        </w:rPr>
        <w:t>to develop a scoring system which sufficiently prioritises and promotes investment in capital items that improve AHW</w:t>
      </w:r>
      <w:r w:rsidR="00EB5C7C">
        <w:rPr>
          <w:rFonts w:cs="Arial"/>
          <w:color w:val="000000" w:themeColor="text1"/>
        </w:rPr>
        <w:t>, this would need careful consideration</w:t>
      </w:r>
      <w:r w:rsidR="00420E2A">
        <w:rPr>
          <w:rFonts w:cs="Arial"/>
          <w:color w:val="000000" w:themeColor="text1"/>
        </w:rPr>
        <w:t xml:space="preserve">. </w:t>
      </w:r>
    </w:p>
    <w:p w14:paraId="23220C92" w14:textId="6C490E55" w:rsidR="004D7DA1" w:rsidRDefault="004D7DA1" w:rsidP="00EB5C7C">
      <w:pPr>
        <w:spacing w:after="0"/>
        <w:rPr>
          <w:rFonts w:cs="Arial"/>
          <w:color w:val="000000" w:themeColor="text1"/>
        </w:rPr>
      </w:pPr>
    </w:p>
    <w:p w14:paraId="2C9F7900" w14:textId="77777777" w:rsidR="004D7DA1" w:rsidRDefault="004D7DA1" w:rsidP="004D7DA1">
      <w:pPr>
        <w:shd w:val="clear" w:color="auto" w:fill="E2EFD9" w:themeFill="accent6" w:themeFillTint="33"/>
        <w:spacing w:after="0"/>
      </w:pPr>
      <w:r w:rsidRPr="009D604D">
        <w:rPr>
          <w:b/>
          <w:bCs/>
        </w:rPr>
        <w:t>Option A – Standalone AHW grants:</w:t>
      </w:r>
      <w:r>
        <w:t xml:space="preserve"> </w:t>
      </w:r>
    </w:p>
    <w:p w14:paraId="7CF1BEE0" w14:textId="77777777" w:rsidR="004D7DA1" w:rsidRPr="0050065C" w:rsidRDefault="004D7DA1" w:rsidP="004D7DA1">
      <w:pPr>
        <w:pStyle w:val="ListParagraph"/>
        <w:numPr>
          <w:ilvl w:val="0"/>
          <w:numId w:val="23"/>
        </w:numPr>
        <w:shd w:val="clear" w:color="auto" w:fill="E2EFD9" w:themeFill="accent6" w:themeFillTint="33"/>
        <w:rPr>
          <w:i/>
          <w:iCs/>
        </w:rPr>
      </w:pPr>
      <w:r w:rsidRPr="0050065C">
        <w:rPr>
          <w:i/>
          <w:iCs/>
        </w:rPr>
        <w:t xml:space="preserve">Small: </w:t>
      </w:r>
      <w:r>
        <w:t>AHW-focused scoring system</w:t>
      </w:r>
    </w:p>
    <w:p w14:paraId="61349B52" w14:textId="77777777" w:rsidR="004D7DA1" w:rsidRPr="00641E86" w:rsidRDefault="004D7DA1" w:rsidP="004D7DA1">
      <w:pPr>
        <w:pStyle w:val="ListParagraph"/>
        <w:numPr>
          <w:ilvl w:val="0"/>
          <w:numId w:val="23"/>
        </w:numPr>
        <w:shd w:val="clear" w:color="auto" w:fill="E2EFD9" w:themeFill="accent6" w:themeFillTint="33"/>
        <w:rPr>
          <w:i/>
          <w:iCs/>
        </w:rPr>
      </w:pPr>
      <w:r>
        <w:rPr>
          <w:i/>
          <w:iCs/>
        </w:rPr>
        <w:t>(</w:t>
      </w:r>
      <w:r w:rsidRPr="0050065C">
        <w:rPr>
          <w:i/>
          <w:iCs/>
        </w:rPr>
        <w:t xml:space="preserve">Large: </w:t>
      </w:r>
      <w:r>
        <w:t>AHW-focused scoring system)</w:t>
      </w:r>
    </w:p>
    <w:p w14:paraId="3A37940C" w14:textId="77777777" w:rsidR="004D7DA1" w:rsidRDefault="004D7DA1" w:rsidP="004D7DA1">
      <w:pPr>
        <w:spacing w:after="0"/>
      </w:pPr>
    </w:p>
    <w:p w14:paraId="0137627C" w14:textId="77777777" w:rsidR="004D7DA1" w:rsidRDefault="004D7DA1" w:rsidP="004D7DA1">
      <w:pPr>
        <w:shd w:val="clear" w:color="auto" w:fill="DEEAF6" w:themeFill="accent5" w:themeFillTint="33"/>
        <w:spacing w:after="0"/>
      </w:pPr>
      <w:r w:rsidRPr="00FE5189">
        <w:rPr>
          <w:b/>
          <w:bCs/>
        </w:rPr>
        <w:t>Option B – AHW Integrated with FIF:</w:t>
      </w:r>
      <w:r>
        <w:t xml:space="preserve"> </w:t>
      </w:r>
    </w:p>
    <w:p w14:paraId="44C9E585" w14:textId="77777777" w:rsidR="004D7DA1" w:rsidRDefault="004D7DA1" w:rsidP="004D7DA1">
      <w:pPr>
        <w:pStyle w:val="ListParagraph"/>
        <w:numPr>
          <w:ilvl w:val="0"/>
          <w:numId w:val="23"/>
        </w:numPr>
        <w:shd w:val="clear" w:color="auto" w:fill="DEEAF6" w:themeFill="accent5" w:themeFillTint="33"/>
      </w:pPr>
      <w:r w:rsidRPr="0050065C">
        <w:rPr>
          <w:i/>
          <w:iCs/>
        </w:rPr>
        <w:t>Small:</w:t>
      </w:r>
      <w:r>
        <w:t xml:space="preserve"> TBC - a blended or AHW-focused scoring system?!</w:t>
      </w:r>
    </w:p>
    <w:p w14:paraId="1076FB2F" w14:textId="77777777" w:rsidR="004D7DA1" w:rsidRPr="003C3A7A" w:rsidRDefault="004D7DA1" w:rsidP="004D7DA1">
      <w:pPr>
        <w:pStyle w:val="ListParagraph"/>
        <w:numPr>
          <w:ilvl w:val="0"/>
          <w:numId w:val="23"/>
        </w:numPr>
        <w:shd w:val="clear" w:color="auto" w:fill="DEEAF6" w:themeFill="accent5" w:themeFillTint="33"/>
      </w:pPr>
      <w:r w:rsidRPr="0050065C">
        <w:rPr>
          <w:i/>
          <w:iCs/>
        </w:rPr>
        <w:t>Large:</w:t>
      </w:r>
      <w:r>
        <w:t xml:space="preserve"> TBC - a blended or AHW-focused scoring system?!</w:t>
      </w:r>
    </w:p>
    <w:p w14:paraId="49B7D627" w14:textId="564F974A" w:rsidR="004D7DA1" w:rsidRDefault="004D7DA1" w:rsidP="00EB5C7C">
      <w:pPr>
        <w:spacing w:after="0"/>
        <w:rPr>
          <w:rFonts w:cs="Arial"/>
          <w:color w:val="000000" w:themeColor="text1"/>
        </w:rPr>
      </w:pPr>
    </w:p>
    <w:p w14:paraId="466BCC52" w14:textId="0E36F11C" w:rsidR="004D7DA1" w:rsidRPr="004D7DA1" w:rsidRDefault="004D7DA1" w:rsidP="00EB5C7C">
      <w:pPr>
        <w:spacing w:after="0"/>
        <w:rPr>
          <w:rFonts w:cs="Arial"/>
          <w:i/>
          <w:iCs/>
          <w:color w:val="000000" w:themeColor="text1"/>
        </w:rPr>
      </w:pPr>
      <w:r>
        <w:rPr>
          <w:rFonts w:cs="Arial"/>
          <w:i/>
          <w:iCs/>
          <w:color w:val="000000" w:themeColor="text1"/>
        </w:rPr>
        <w:t>(NB: we are aware this question may be hard to answer yet and is quite complex!)</w:t>
      </w:r>
    </w:p>
    <w:tbl>
      <w:tblPr>
        <w:tblStyle w:val="TableGrid"/>
        <w:tblW w:w="9067" w:type="dxa"/>
        <w:tblLook w:val="04A0" w:firstRow="1" w:lastRow="0" w:firstColumn="1" w:lastColumn="0" w:noHBand="0" w:noVBand="1"/>
      </w:tblPr>
      <w:tblGrid>
        <w:gridCol w:w="1555"/>
        <w:gridCol w:w="567"/>
        <w:gridCol w:w="6945"/>
      </w:tblGrid>
      <w:tr w:rsidR="004D7DA1" w14:paraId="04502550" w14:textId="77777777" w:rsidTr="00E169A0">
        <w:tc>
          <w:tcPr>
            <w:tcW w:w="1555" w:type="dxa"/>
          </w:tcPr>
          <w:p w14:paraId="15BA4E1F" w14:textId="77777777" w:rsidR="004D7DA1" w:rsidRPr="003A01CA" w:rsidRDefault="004D7DA1" w:rsidP="00E169A0">
            <w:pPr>
              <w:rPr>
                <w:b/>
                <w:bCs/>
              </w:rPr>
            </w:pPr>
            <w:r w:rsidRPr="003A01CA">
              <w:rPr>
                <w:b/>
                <w:bCs/>
              </w:rPr>
              <w:t>Option A</w:t>
            </w:r>
          </w:p>
        </w:tc>
        <w:tc>
          <w:tcPr>
            <w:tcW w:w="567" w:type="dxa"/>
          </w:tcPr>
          <w:p w14:paraId="2753BE79" w14:textId="77777777" w:rsidR="004D7DA1" w:rsidRDefault="004D7DA1" w:rsidP="00E169A0"/>
        </w:tc>
        <w:tc>
          <w:tcPr>
            <w:tcW w:w="6945" w:type="dxa"/>
            <w:vMerge w:val="restart"/>
          </w:tcPr>
          <w:p w14:paraId="52BEFF2C" w14:textId="58051A75" w:rsidR="004D7DA1" w:rsidRPr="00CD3A90" w:rsidRDefault="004D7DA1" w:rsidP="00E169A0">
            <w:pPr>
              <w:rPr>
                <w:rFonts w:ascii="OpenDyslexic 3" w:hAnsi="OpenDyslexic 3"/>
              </w:rPr>
            </w:pPr>
            <w:r w:rsidRPr="00FE5189">
              <w:rPr>
                <w:b/>
                <w:bCs/>
              </w:rPr>
              <w:t>Comments / Questions</w:t>
            </w:r>
            <w:r>
              <w:rPr>
                <w:b/>
                <w:bCs/>
              </w:rPr>
              <w:t>:</w:t>
            </w:r>
            <w:r w:rsidR="00CD3A90">
              <w:rPr>
                <w:rFonts w:ascii="OpenDyslexic 3" w:hAnsi="OpenDyslexic 3"/>
              </w:rPr>
              <w:t xml:space="preserve"> there are so many examples of capital investments with blended benefit that to be able to borrow from different pots to complete an application, and perhaps with slightly </w:t>
            </w:r>
            <w:r w:rsidR="00CD3A90">
              <w:rPr>
                <w:rFonts w:ascii="OpenDyslexic 3" w:hAnsi="OpenDyslexic 3"/>
              </w:rPr>
              <w:lastRenderedPageBreak/>
              <w:t xml:space="preserve">variable intervention rates across those pots, would </w:t>
            </w:r>
            <w:r w:rsidR="00FF737B">
              <w:rPr>
                <w:rFonts w:ascii="OpenDyslexic 3" w:hAnsi="OpenDyslexic 3"/>
              </w:rPr>
              <w:t xml:space="preserve">add </w:t>
            </w:r>
            <w:proofErr w:type="gramStart"/>
            <w:r w:rsidR="00FF737B">
              <w:rPr>
                <w:rFonts w:ascii="OpenDyslexic 3" w:hAnsi="OpenDyslexic 3"/>
              </w:rPr>
              <w:t>back end</w:t>
            </w:r>
            <w:proofErr w:type="gramEnd"/>
            <w:r w:rsidR="00FF737B">
              <w:rPr>
                <w:rFonts w:ascii="OpenDyslexic 3" w:hAnsi="OpenDyslexic 3"/>
              </w:rPr>
              <w:t xml:space="preserve"> complexity, but enable greater transparency in the investment made in welfare. This is a different public good than productivity and environmental investment, and it would feel right and proper to avoid double or triple counting investment, but recognising the contribution made by a single granted item to each of these three priorities.</w:t>
            </w:r>
          </w:p>
        </w:tc>
      </w:tr>
      <w:tr w:rsidR="004D7DA1" w14:paraId="5C2F4923" w14:textId="77777777" w:rsidTr="00E169A0">
        <w:tc>
          <w:tcPr>
            <w:tcW w:w="1555" w:type="dxa"/>
          </w:tcPr>
          <w:p w14:paraId="11B417E0" w14:textId="77777777" w:rsidR="004D7DA1" w:rsidRPr="003A01CA" w:rsidRDefault="004D7DA1" w:rsidP="00E169A0">
            <w:pPr>
              <w:rPr>
                <w:b/>
                <w:bCs/>
              </w:rPr>
            </w:pPr>
            <w:r w:rsidRPr="003A01CA">
              <w:rPr>
                <w:b/>
                <w:bCs/>
              </w:rPr>
              <w:t>Option B</w:t>
            </w:r>
          </w:p>
        </w:tc>
        <w:tc>
          <w:tcPr>
            <w:tcW w:w="567" w:type="dxa"/>
          </w:tcPr>
          <w:p w14:paraId="4504AD7D" w14:textId="3AD85C7A" w:rsidR="004D7DA1" w:rsidRDefault="00CD3A90" w:rsidP="00E169A0">
            <w:r>
              <w:t>X</w:t>
            </w:r>
          </w:p>
        </w:tc>
        <w:tc>
          <w:tcPr>
            <w:tcW w:w="6945" w:type="dxa"/>
            <w:vMerge/>
          </w:tcPr>
          <w:p w14:paraId="5F806854" w14:textId="77777777" w:rsidR="004D7DA1" w:rsidRDefault="004D7DA1" w:rsidP="00E169A0"/>
        </w:tc>
      </w:tr>
      <w:tr w:rsidR="004D7DA1" w14:paraId="702A60A5" w14:textId="77777777" w:rsidTr="00E169A0">
        <w:tc>
          <w:tcPr>
            <w:tcW w:w="1555" w:type="dxa"/>
          </w:tcPr>
          <w:p w14:paraId="1D15AFC4" w14:textId="5BB75946" w:rsidR="004D7DA1" w:rsidRPr="003A01CA" w:rsidRDefault="004D7DA1" w:rsidP="00E169A0">
            <w:pPr>
              <w:rPr>
                <w:b/>
                <w:bCs/>
              </w:rPr>
            </w:pPr>
            <w:r w:rsidRPr="003A01CA">
              <w:rPr>
                <w:b/>
                <w:bCs/>
              </w:rPr>
              <w:t xml:space="preserve">No </w:t>
            </w:r>
            <w:r>
              <w:rPr>
                <w:b/>
                <w:bCs/>
              </w:rPr>
              <w:t>p</w:t>
            </w:r>
            <w:r w:rsidRPr="003A01CA">
              <w:rPr>
                <w:b/>
                <w:bCs/>
              </w:rPr>
              <w:t>reference</w:t>
            </w:r>
          </w:p>
        </w:tc>
        <w:tc>
          <w:tcPr>
            <w:tcW w:w="567" w:type="dxa"/>
          </w:tcPr>
          <w:p w14:paraId="6404A2D4" w14:textId="77777777" w:rsidR="004D7DA1" w:rsidRDefault="004D7DA1" w:rsidP="00E169A0"/>
        </w:tc>
        <w:tc>
          <w:tcPr>
            <w:tcW w:w="6945" w:type="dxa"/>
            <w:vMerge/>
          </w:tcPr>
          <w:p w14:paraId="20E79ACD" w14:textId="77777777" w:rsidR="004D7DA1" w:rsidRDefault="004D7DA1" w:rsidP="00E169A0"/>
        </w:tc>
      </w:tr>
      <w:tr w:rsidR="004D7DA1" w14:paraId="09C2E427" w14:textId="77777777" w:rsidTr="00E169A0">
        <w:tc>
          <w:tcPr>
            <w:tcW w:w="1555" w:type="dxa"/>
          </w:tcPr>
          <w:p w14:paraId="24CA804C" w14:textId="77777777" w:rsidR="004D7DA1" w:rsidRPr="003A01CA" w:rsidRDefault="004D7DA1" w:rsidP="00E169A0">
            <w:pPr>
              <w:rPr>
                <w:b/>
                <w:bCs/>
              </w:rPr>
            </w:pPr>
            <w:r>
              <w:rPr>
                <w:b/>
                <w:bCs/>
              </w:rPr>
              <w:t>Don’t know</w:t>
            </w:r>
          </w:p>
        </w:tc>
        <w:tc>
          <w:tcPr>
            <w:tcW w:w="567" w:type="dxa"/>
          </w:tcPr>
          <w:p w14:paraId="07A89BE2" w14:textId="77777777" w:rsidR="004D7DA1" w:rsidRDefault="004D7DA1" w:rsidP="00E169A0"/>
        </w:tc>
        <w:tc>
          <w:tcPr>
            <w:tcW w:w="6945" w:type="dxa"/>
            <w:vMerge/>
          </w:tcPr>
          <w:p w14:paraId="6A70F063" w14:textId="77777777" w:rsidR="004D7DA1" w:rsidRDefault="004D7DA1" w:rsidP="00E169A0"/>
        </w:tc>
      </w:tr>
    </w:tbl>
    <w:p w14:paraId="613799A5" w14:textId="77777777" w:rsidR="00E26646" w:rsidRDefault="00E26646" w:rsidP="00EB5C7C">
      <w:pPr>
        <w:spacing w:after="0"/>
        <w:rPr>
          <w:rFonts w:cs="Arial"/>
          <w:color w:val="000000" w:themeColor="text1"/>
        </w:rPr>
      </w:pPr>
    </w:p>
    <w:p w14:paraId="4A30DAC2" w14:textId="32E3FC74" w:rsidR="00E767EA" w:rsidRPr="00E169A0" w:rsidRDefault="00E26646" w:rsidP="00B606D3">
      <w:pPr>
        <w:rPr>
          <w:rFonts w:cs="Arial"/>
          <w:i/>
          <w:iCs/>
        </w:rPr>
      </w:pPr>
      <w:r w:rsidRPr="00E169A0">
        <w:rPr>
          <w:rFonts w:cs="Arial"/>
          <w:i/>
          <w:iCs/>
        </w:rPr>
        <w:t>As part of our future discussions on scoring we will consider the following questions</w:t>
      </w:r>
      <w:r w:rsidR="000E0001" w:rsidRPr="00E169A0">
        <w:rPr>
          <w:rFonts w:cs="Arial"/>
          <w:i/>
          <w:iCs/>
        </w:rPr>
        <w:t xml:space="preserve"> (which are agnostic of whether we go with </w:t>
      </w:r>
      <w:r w:rsidR="000E0001" w:rsidRPr="00E169A0">
        <w:rPr>
          <w:rFonts w:cs="Arial"/>
          <w:b/>
          <w:bCs/>
          <w:i/>
          <w:iCs/>
        </w:rPr>
        <w:t>Option A or B)</w:t>
      </w:r>
      <w:r w:rsidRPr="00E169A0">
        <w:rPr>
          <w:rFonts w:cs="Arial"/>
          <w:b/>
          <w:bCs/>
          <w:i/>
          <w:iCs/>
        </w:rPr>
        <w:t>:</w:t>
      </w:r>
    </w:p>
    <w:p w14:paraId="0FA3A513" w14:textId="77777777" w:rsidR="00E767EA" w:rsidRPr="000E0001" w:rsidRDefault="00E767EA" w:rsidP="00E26646">
      <w:pPr>
        <w:pStyle w:val="ListParagraph"/>
        <w:numPr>
          <w:ilvl w:val="0"/>
          <w:numId w:val="26"/>
        </w:numPr>
        <w:rPr>
          <w:rStyle w:val="normaltextrun"/>
          <w:rFonts w:eastAsia="Times New Roman"/>
          <w:lang w:eastAsia="en-US"/>
        </w:rPr>
      </w:pPr>
      <w:r w:rsidRPr="000E0001">
        <w:rPr>
          <w:rStyle w:val="normaltextrun"/>
          <w:rFonts w:eastAsia="Times New Roman"/>
          <w:i/>
          <w:iCs/>
          <w:bdr w:val="none" w:sz="0" w:space="0" w:color="auto" w:frame="1"/>
        </w:rPr>
        <w:t xml:space="preserve">How do we draw the line between capital items that </w:t>
      </w:r>
      <w:r w:rsidRPr="000E0001">
        <w:rPr>
          <w:rStyle w:val="normaltextrun"/>
          <w:rFonts w:eastAsia="Times New Roman"/>
          <w:b/>
          <w:bCs/>
          <w:i/>
          <w:iCs/>
          <w:bdr w:val="none" w:sz="0" w:space="0" w:color="auto" w:frame="1"/>
        </w:rPr>
        <w:t>do or do not impact animal health and welfare</w:t>
      </w:r>
      <w:r w:rsidRPr="000E0001">
        <w:rPr>
          <w:rStyle w:val="normaltextrun"/>
          <w:rFonts w:eastAsia="Times New Roman"/>
          <w:i/>
          <w:iCs/>
          <w:bdr w:val="none" w:sz="0" w:space="0" w:color="auto" w:frame="1"/>
        </w:rPr>
        <w:t>?</w:t>
      </w:r>
      <w:r w:rsidRPr="000E0001">
        <w:rPr>
          <w:rStyle w:val="normaltextrun"/>
          <w:rFonts w:eastAsia="Times New Roman"/>
          <w:bdr w:val="none" w:sz="0" w:space="0" w:color="auto" w:frame="1"/>
        </w:rPr>
        <w:t xml:space="preserve"> For instance, don’t most productivity-related items for livestock also have effect on AHW?</w:t>
      </w:r>
    </w:p>
    <w:p w14:paraId="0E1EF302" w14:textId="0D8348F7" w:rsidR="00337680" w:rsidRPr="000E0001" w:rsidRDefault="00E26646" w:rsidP="00E26646">
      <w:pPr>
        <w:pStyle w:val="ListParagraph"/>
        <w:numPr>
          <w:ilvl w:val="0"/>
          <w:numId w:val="26"/>
        </w:numPr>
      </w:pPr>
      <w:r w:rsidRPr="000E0001">
        <w:rPr>
          <w:i/>
          <w:iCs/>
        </w:rPr>
        <w:t>Who should score applications? Should this be RP, or could in</w:t>
      </w:r>
      <w:r w:rsidR="000E0001" w:rsidRPr="000E0001">
        <w:rPr>
          <w:i/>
          <w:iCs/>
        </w:rPr>
        <w:t xml:space="preserve"> this in</w:t>
      </w:r>
      <w:r w:rsidRPr="000E0001">
        <w:rPr>
          <w:i/>
          <w:iCs/>
        </w:rPr>
        <w:t xml:space="preserve">volve vets </w:t>
      </w:r>
      <w:r w:rsidR="000E0001" w:rsidRPr="000E0001">
        <w:rPr>
          <w:i/>
          <w:iCs/>
        </w:rPr>
        <w:t>or</w:t>
      </w:r>
      <w:r w:rsidRPr="000E0001">
        <w:rPr>
          <w:i/>
          <w:iCs/>
        </w:rPr>
        <w:t xml:space="preserve"> academics? </w:t>
      </w:r>
    </w:p>
    <w:p w14:paraId="6DD789EA" w14:textId="0CB5E57A" w:rsidR="003F2BEF" w:rsidRPr="000E0001" w:rsidRDefault="000E0001" w:rsidP="00E26646">
      <w:pPr>
        <w:pStyle w:val="ListParagraph"/>
        <w:numPr>
          <w:ilvl w:val="0"/>
          <w:numId w:val="26"/>
        </w:numPr>
        <w:rPr>
          <w:i/>
          <w:iCs/>
        </w:rPr>
      </w:pPr>
      <w:r w:rsidRPr="000E0001">
        <w:rPr>
          <w:i/>
          <w:iCs/>
        </w:rPr>
        <w:t>What role does vet advice have in the success of the application?</w:t>
      </w:r>
    </w:p>
    <w:p w14:paraId="00F4F52D" w14:textId="0CB5F73C" w:rsidR="00337680" w:rsidRPr="000E0001" w:rsidRDefault="00337680" w:rsidP="000E0001">
      <w:pPr>
        <w:pStyle w:val="ListParagraph"/>
        <w:numPr>
          <w:ilvl w:val="0"/>
          <w:numId w:val="26"/>
        </w:numPr>
        <w:rPr>
          <w:i/>
          <w:iCs/>
        </w:rPr>
      </w:pPr>
      <w:r w:rsidRPr="000E0001">
        <w:rPr>
          <w:i/>
          <w:iCs/>
        </w:rPr>
        <w:t xml:space="preserve">What are the risks if there is significant </w:t>
      </w:r>
      <w:proofErr w:type="gramStart"/>
      <w:r w:rsidRPr="000E0001">
        <w:rPr>
          <w:i/>
          <w:iCs/>
        </w:rPr>
        <w:t>oversubscription</w:t>
      </w:r>
      <w:proofErr w:type="gramEnd"/>
      <w:r w:rsidR="00E169A0">
        <w:rPr>
          <w:i/>
          <w:iCs/>
        </w:rPr>
        <w:t xml:space="preserve"> </w:t>
      </w:r>
      <w:r w:rsidRPr="000E0001">
        <w:rPr>
          <w:i/>
          <w:iCs/>
        </w:rPr>
        <w:t>and many farmers are not successful?</w:t>
      </w:r>
      <w:r w:rsidR="00E26646" w:rsidRPr="000E0001">
        <w:rPr>
          <w:i/>
          <w:iCs/>
        </w:rPr>
        <w:t xml:space="preserve"> </w:t>
      </w:r>
      <w:r w:rsidRPr="000E0001">
        <w:rPr>
          <w:i/>
          <w:iCs/>
        </w:rPr>
        <w:t>Could Defra be subject to liability claims if a farmer incurred costs before applying (</w:t>
      </w:r>
      <w:proofErr w:type="spellStart"/>
      <w:r w:rsidRPr="000E0001">
        <w:rPr>
          <w:i/>
          <w:iCs/>
        </w:rPr>
        <w:t>eg</w:t>
      </w:r>
      <w:proofErr w:type="spellEnd"/>
      <w:r w:rsidRPr="000E0001">
        <w:rPr>
          <w:i/>
          <w:iCs/>
        </w:rPr>
        <w:t>, for planning permission)?</w:t>
      </w:r>
      <w:r w:rsidRPr="000E0001">
        <w:t xml:space="preserve"> </w:t>
      </w:r>
    </w:p>
    <w:p w14:paraId="74B0A192" w14:textId="77777777" w:rsidR="000E0001" w:rsidRPr="000E0001" w:rsidRDefault="000E0001" w:rsidP="000E0001">
      <w:pPr>
        <w:pStyle w:val="ListParagraph"/>
        <w:rPr>
          <w:i/>
          <w:iCs/>
        </w:rPr>
      </w:pPr>
    </w:p>
    <w:p w14:paraId="17ACFA27" w14:textId="40C09E6F" w:rsidR="00335FE1" w:rsidRDefault="00335FE1" w:rsidP="00822D64">
      <w:pPr>
        <w:pStyle w:val="Heading3"/>
        <w:numPr>
          <w:ilvl w:val="1"/>
          <w:numId w:val="22"/>
        </w:numPr>
      </w:pPr>
      <w:r>
        <w:t xml:space="preserve">When would </w:t>
      </w:r>
      <w:r w:rsidRPr="00335FE1">
        <w:rPr>
          <w:b/>
          <w:bCs/>
        </w:rPr>
        <w:t>vet advice</w:t>
      </w:r>
      <w:r w:rsidRPr="00335FE1">
        <w:t xml:space="preserve"> be </w:t>
      </w:r>
      <w:r>
        <w:t>required</w:t>
      </w:r>
      <w:r w:rsidRPr="00335FE1">
        <w:t>?</w:t>
      </w:r>
    </w:p>
    <w:p w14:paraId="76B8C03C" w14:textId="77777777" w:rsidR="00643BB9" w:rsidRDefault="00643BB9" w:rsidP="00643BB9">
      <w:r>
        <w:t xml:space="preserve">We have agreed that </w:t>
      </w:r>
      <w:r w:rsidRPr="00643BB9">
        <w:rPr>
          <w:rStyle w:val="normaltextrun"/>
          <w:rFonts w:eastAsia="Times New Roman" w:cstheme="minorHAnsi"/>
          <w:color w:val="000000"/>
        </w:rPr>
        <w:t xml:space="preserve">vet advice is required to receive an AHW grant. </w:t>
      </w:r>
      <w:r>
        <w:t xml:space="preserve">This is to ensure that farmers select AHW items that are best suited to their farm and to encourage quality conversations between vet and farmer. </w:t>
      </w:r>
      <w:r w:rsidRPr="00643BB9">
        <w:rPr>
          <w:rStyle w:val="normaltextrun"/>
          <w:rFonts w:eastAsia="Times New Roman" w:cstheme="minorHAnsi"/>
          <w:color w:val="000000"/>
        </w:rPr>
        <w:t>In Year 1, this could be through AHWR, a regular visit or phone call with their local vet. In subsequent years, farmers may need to have had an AHWR to receive a grant.</w:t>
      </w:r>
      <w:r>
        <w:t xml:space="preserve"> </w:t>
      </w:r>
    </w:p>
    <w:p w14:paraId="56038379" w14:textId="456287E0" w:rsidR="00B73F9D" w:rsidRDefault="00643BB9" w:rsidP="00B73F9D">
      <w:r w:rsidRPr="004D7DA1">
        <w:rPr>
          <w:b/>
          <w:bCs/>
        </w:rPr>
        <w:t xml:space="preserve">Whether we go with </w:t>
      </w:r>
      <w:r w:rsidRPr="004D7DA1">
        <w:rPr>
          <w:b/>
          <w:bCs/>
          <w:u w:val="single"/>
        </w:rPr>
        <w:t>Option A or B</w:t>
      </w:r>
      <w:r w:rsidRPr="004D7DA1">
        <w:rPr>
          <w:b/>
          <w:bCs/>
        </w:rPr>
        <w:t xml:space="preserve">, there will still be </w:t>
      </w:r>
      <w:r w:rsidR="004D7DA1">
        <w:rPr>
          <w:b/>
          <w:bCs/>
        </w:rPr>
        <w:t>the same</w:t>
      </w:r>
      <w:r w:rsidRPr="004D7DA1">
        <w:rPr>
          <w:b/>
          <w:bCs/>
        </w:rPr>
        <w:t xml:space="preserve"> requirement for vet advice.</w:t>
      </w:r>
      <w:r>
        <w:t xml:space="preserve"> In </w:t>
      </w:r>
      <w:r w:rsidRPr="00643BB9">
        <w:rPr>
          <w:b/>
          <w:bCs/>
        </w:rPr>
        <w:t>Option A</w:t>
      </w:r>
      <w:r>
        <w:t xml:space="preserve">, this would be an entry requirement for the scheme, in </w:t>
      </w:r>
      <w:r w:rsidRPr="00643BB9">
        <w:rPr>
          <w:b/>
          <w:bCs/>
        </w:rPr>
        <w:t>Option B</w:t>
      </w:r>
      <w:r>
        <w:t xml:space="preserve"> this would be required if AHW items are selected. </w:t>
      </w:r>
    </w:p>
    <w:p w14:paraId="65857191" w14:textId="1CC512E4" w:rsidR="00B73F9D" w:rsidRDefault="00B73F9D" w:rsidP="00B73F9D">
      <w:pPr>
        <w:shd w:val="clear" w:color="auto" w:fill="E2EFD9" w:themeFill="accent6" w:themeFillTint="33"/>
        <w:spacing w:after="0"/>
      </w:pPr>
      <w:r w:rsidRPr="009D604D">
        <w:rPr>
          <w:b/>
          <w:bCs/>
        </w:rPr>
        <w:t>Option A – Standalone AHW grants:</w:t>
      </w:r>
      <w:r>
        <w:t xml:space="preserve"> </w:t>
      </w:r>
    </w:p>
    <w:p w14:paraId="4B62C508" w14:textId="39194DEC" w:rsidR="00B73F9D" w:rsidRPr="0050065C" w:rsidRDefault="00B73F9D" w:rsidP="00B73F9D">
      <w:pPr>
        <w:pStyle w:val="ListParagraph"/>
        <w:numPr>
          <w:ilvl w:val="0"/>
          <w:numId w:val="23"/>
        </w:numPr>
        <w:shd w:val="clear" w:color="auto" w:fill="E2EFD9" w:themeFill="accent6" w:themeFillTint="33"/>
        <w:rPr>
          <w:i/>
          <w:iCs/>
        </w:rPr>
      </w:pPr>
      <w:r w:rsidRPr="0050065C">
        <w:rPr>
          <w:i/>
          <w:iCs/>
        </w:rPr>
        <w:t xml:space="preserve">Small: </w:t>
      </w:r>
      <w:r w:rsidR="00822D64" w:rsidRPr="00B73F9D">
        <w:t>Vet advice would be an entry requirement for the scheme</w:t>
      </w:r>
    </w:p>
    <w:p w14:paraId="272D9954" w14:textId="1ACF1886" w:rsidR="00B73F9D" w:rsidRDefault="00B73F9D" w:rsidP="00B73F9D">
      <w:pPr>
        <w:pStyle w:val="ListParagraph"/>
        <w:numPr>
          <w:ilvl w:val="0"/>
          <w:numId w:val="23"/>
        </w:numPr>
        <w:shd w:val="clear" w:color="auto" w:fill="E2EFD9" w:themeFill="accent6" w:themeFillTint="33"/>
      </w:pPr>
      <w:r w:rsidRPr="0050065C">
        <w:rPr>
          <w:i/>
          <w:iCs/>
        </w:rPr>
        <w:t xml:space="preserve">Large: </w:t>
      </w:r>
      <w:r w:rsidR="00822D64" w:rsidRPr="00B73F9D">
        <w:t>Vet advice would be an entry requirement for the scheme</w:t>
      </w:r>
    </w:p>
    <w:p w14:paraId="1B5FE1B1" w14:textId="77777777" w:rsidR="00B73F9D" w:rsidRDefault="00B73F9D" w:rsidP="00B73F9D">
      <w:pPr>
        <w:spacing w:after="0"/>
      </w:pPr>
    </w:p>
    <w:p w14:paraId="73250C5D" w14:textId="0B973997" w:rsidR="00B73F9D" w:rsidRDefault="00B73F9D" w:rsidP="00822D64">
      <w:pPr>
        <w:shd w:val="clear" w:color="auto" w:fill="DEEAF6" w:themeFill="accent5" w:themeFillTint="33"/>
        <w:spacing w:after="0"/>
      </w:pPr>
      <w:r w:rsidRPr="00FE5189">
        <w:rPr>
          <w:b/>
          <w:bCs/>
        </w:rPr>
        <w:t>Option B – AHW Integrated with FIF</w:t>
      </w:r>
      <w:r w:rsidR="00822D64">
        <w:rPr>
          <w:b/>
          <w:bCs/>
        </w:rPr>
        <w:t>:</w:t>
      </w:r>
    </w:p>
    <w:p w14:paraId="46230300" w14:textId="62921EB4" w:rsidR="00822D64" w:rsidRPr="00641E86" w:rsidRDefault="00822D64" w:rsidP="00822D64">
      <w:pPr>
        <w:pStyle w:val="ListParagraph"/>
        <w:numPr>
          <w:ilvl w:val="0"/>
          <w:numId w:val="23"/>
        </w:numPr>
        <w:shd w:val="clear" w:color="auto" w:fill="DEEAF6" w:themeFill="accent5" w:themeFillTint="33"/>
      </w:pPr>
      <w:r>
        <w:rPr>
          <w:i/>
          <w:iCs/>
        </w:rPr>
        <w:t xml:space="preserve">Small: </w:t>
      </w:r>
      <w:r w:rsidRPr="00641E86">
        <w:t>Vet advice would only be required if farmer applied for any AHW items</w:t>
      </w:r>
    </w:p>
    <w:p w14:paraId="6F584DDC" w14:textId="4AB45FC2" w:rsidR="00B73F9D" w:rsidRPr="00822D64" w:rsidRDefault="00B73F9D" w:rsidP="00822D64">
      <w:pPr>
        <w:pStyle w:val="ListParagraph"/>
        <w:numPr>
          <w:ilvl w:val="0"/>
          <w:numId w:val="23"/>
        </w:numPr>
        <w:shd w:val="clear" w:color="auto" w:fill="DEEAF6" w:themeFill="accent5" w:themeFillTint="33"/>
        <w:rPr>
          <w:i/>
          <w:iCs/>
        </w:rPr>
      </w:pPr>
      <w:r w:rsidRPr="0050065C">
        <w:rPr>
          <w:i/>
          <w:iCs/>
        </w:rPr>
        <w:t>Large:</w:t>
      </w:r>
      <w:r>
        <w:t xml:space="preserve"> </w:t>
      </w:r>
      <w:r w:rsidR="00822D64" w:rsidRPr="00B73F9D">
        <w:t xml:space="preserve">Vet advice would be an entry requirement for </w:t>
      </w:r>
      <w:r w:rsidR="00822D64">
        <w:t>each ‘theme’ with AHW elements</w:t>
      </w:r>
    </w:p>
    <w:p w14:paraId="59BF3650" w14:textId="36A11DE4" w:rsidR="006427E2" w:rsidRDefault="00643BB9" w:rsidP="00643BB9">
      <w:pPr>
        <w:spacing w:after="0"/>
      </w:pPr>
      <w:r>
        <w:t xml:space="preserve"> </w:t>
      </w:r>
    </w:p>
    <w:tbl>
      <w:tblPr>
        <w:tblStyle w:val="TableGrid"/>
        <w:tblW w:w="9067" w:type="dxa"/>
        <w:tblLook w:val="04A0" w:firstRow="1" w:lastRow="0" w:firstColumn="1" w:lastColumn="0" w:noHBand="0" w:noVBand="1"/>
      </w:tblPr>
      <w:tblGrid>
        <w:gridCol w:w="1555"/>
        <w:gridCol w:w="567"/>
        <w:gridCol w:w="6945"/>
      </w:tblGrid>
      <w:tr w:rsidR="00643BB9" w14:paraId="5F48B991" w14:textId="77777777" w:rsidTr="00E169A0">
        <w:tc>
          <w:tcPr>
            <w:tcW w:w="1555" w:type="dxa"/>
          </w:tcPr>
          <w:p w14:paraId="60B33F72" w14:textId="77777777" w:rsidR="00643BB9" w:rsidRPr="003A01CA" w:rsidRDefault="00643BB9" w:rsidP="00E169A0">
            <w:pPr>
              <w:rPr>
                <w:b/>
                <w:bCs/>
              </w:rPr>
            </w:pPr>
            <w:r w:rsidRPr="003A01CA">
              <w:rPr>
                <w:b/>
                <w:bCs/>
              </w:rPr>
              <w:t>Option A</w:t>
            </w:r>
          </w:p>
        </w:tc>
        <w:tc>
          <w:tcPr>
            <w:tcW w:w="567" w:type="dxa"/>
          </w:tcPr>
          <w:p w14:paraId="5795F2B2" w14:textId="77777777" w:rsidR="00643BB9" w:rsidRDefault="00643BB9" w:rsidP="00E169A0"/>
        </w:tc>
        <w:tc>
          <w:tcPr>
            <w:tcW w:w="6945" w:type="dxa"/>
            <w:vMerge w:val="restart"/>
          </w:tcPr>
          <w:p w14:paraId="2E8C814A" w14:textId="127968D4" w:rsidR="00643BB9" w:rsidRPr="00FF737B" w:rsidRDefault="00643BB9" w:rsidP="00E169A0">
            <w:pPr>
              <w:rPr>
                <w:rFonts w:ascii="OpenDyslexic 3" w:hAnsi="OpenDyslexic 3"/>
              </w:rPr>
            </w:pPr>
            <w:r w:rsidRPr="00FE5189">
              <w:rPr>
                <w:b/>
                <w:bCs/>
              </w:rPr>
              <w:t>Comments / Questions</w:t>
            </w:r>
            <w:r>
              <w:rPr>
                <w:b/>
                <w:bCs/>
              </w:rPr>
              <w:t>:</w:t>
            </w:r>
            <w:r w:rsidR="00FF737B">
              <w:rPr>
                <w:rFonts w:ascii="OpenDyslexic 3" w:hAnsi="OpenDyslexic 3"/>
              </w:rPr>
              <w:t xml:space="preserve"> for some of the larger grants, it is highly likely that a multi-agency approach will be required. For example – housing </w:t>
            </w:r>
            <w:r w:rsidR="00FF737B">
              <w:rPr>
                <w:rFonts w:ascii="OpenDyslexic 3" w:hAnsi="OpenDyslexic 3"/>
              </w:rPr>
              <w:lastRenderedPageBreak/>
              <w:t>specialists, slurry management specialists and so on. Using the vet as the trusted advisor at the hub of this discussion, coordinating a team of professionals to gather evidence, costs and likely impacts of a grant application will add strength to that claim. This will take veterinary time and resource however, and will reflect a cost to the grant application which must be borne by the farmer as part of their cost of business, or by Defra as part of their cost of audit.</w:t>
            </w:r>
          </w:p>
        </w:tc>
      </w:tr>
      <w:tr w:rsidR="00643BB9" w14:paraId="2A27637A" w14:textId="77777777" w:rsidTr="00E169A0">
        <w:tc>
          <w:tcPr>
            <w:tcW w:w="1555" w:type="dxa"/>
          </w:tcPr>
          <w:p w14:paraId="0403C6AC" w14:textId="77777777" w:rsidR="00643BB9" w:rsidRPr="003A01CA" w:rsidRDefault="00643BB9" w:rsidP="00E169A0">
            <w:pPr>
              <w:rPr>
                <w:b/>
                <w:bCs/>
              </w:rPr>
            </w:pPr>
            <w:r w:rsidRPr="003A01CA">
              <w:rPr>
                <w:b/>
                <w:bCs/>
              </w:rPr>
              <w:t>Option B</w:t>
            </w:r>
          </w:p>
        </w:tc>
        <w:tc>
          <w:tcPr>
            <w:tcW w:w="567" w:type="dxa"/>
          </w:tcPr>
          <w:p w14:paraId="1FE9638B" w14:textId="7B46A97D" w:rsidR="00643BB9" w:rsidRDefault="00FF737B" w:rsidP="00E169A0">
            <w:r>
              <w:t>X</w:t>
            </w:r>
          </w:p>
        </w:tc>
        <w:tc>
          <w:tcPr>
            <w:tcW w:w="6945" w:type="dxa"/>
            <w:vMerge/>
          </w:tcPr>
          <w:p w14:paraId="579C81AB" w14:textId="77777777" w:rsidR="00643BB9" w:rsidRDefault="00643BB9" w:rsidP="00E169A0"/>
        </w:tc>
      </w:tr>
      <w:tr w:rsidR="00643BB9" w14:paraId="1B1BC629" w14:textId="77777777" w:rsidTr="00E169A0">
        <w:tc>
          <w:tcPr>
            <w:tcW w:w="1555" w:type="dxa"/>
          </w:tcPr>
          <w:p w14:paraId="441FF771" w14:textId="31A9B348" w:rsidR="00643BB9" w:rsidRPr="003A01CA" w:rsidRDefault="00643BB9" w:rsidP="00E169A0">
            <w:pPr>
              <w:rPr>
                <w:b/>
                <w:bCs/>
              </w:rPr>
            </w:pPr>
            <w:r w:rsidRPr="003A01CA">
              <w:rPr>
                <w:b/>
                <w:bCs/>
              </w:rPr>
              <w:t xml:space="preserve">No </w:t>
            </w:r>
            <w:r w:rsidR="004D7DA1">
              <w:rPr>
                <w:b/>
                <w:bCs/>
              </w:rPr>
              <w:t>p</w:t>
            </w:r>
            <w:r w:rsidRPr="003A01CA">
              <w:rPr>
                <w:b/>
                <w:bCs/>
              </w:rPr>
              <w:t>reference</w:t>
            </w:r>
          </w:p>
        </w:tc>
        <w:tc>
          <w:tcPr>
            <w:tcW w:w="567" w:type="dxa"/>
          </w:tcPr>
          <w:p w14:paraId="196485C4" w14:textId="77777777" w:rsidR="00643BB9" w:rsidRDefault="00643BB9" w:rsidP="00E169A0"/>
        </w:tc>
        <w:tc>
          <w:tcPr>
            <w:tcW w:w="6945" w:type="dxa"/>
            <w:vMerge/>
          </w:tcPr>
          <w:p w14:paraId="406C7044" w14:textId="77777777" w:rsidR="00643BB9" w:rsidRDefault="00643BB9" w:rsidP="00E169A0"/>
        </w:tc>
      </w:tr>
      <w:tr w:rsidR="00643BB9" w14:paraId="0C47ED60" w14:textId="77777777" w:rsidTr="00E169A0">
        <w:tc>
          <w:tcPr>
            <w:tcW w:w="1555" w:type="dxa"/>
          </w:tcPr>
          <w:p w14:paraId="138DC420" w14:textId="77777777" w:rsidR="00643BB9" w:rsidRPr="003A01CA" w:rsidRDefault="00643BB9" w:rsidP="00E169A0">
            <w:pPr>
              <w:rPr>
                <w:b/>
                <w:bCs/>
              </w:rPr>
            </w:pPr>
            <w:r>
              <w:rPr>
                <w:b/>
                <w:bCs/>
              </w:rPr>
              <w:t>Don’t know</w:t>
            </w:r>
          </w:p>
        </w:tc>
        <w:tc>
          <w:tcPr>
            <w:tcW w:w="567" w:type="dxa"/>
          </w:tcPr>
          <w:p w14:paraId="40A9C010" w14:textId="77777777" w:rsidR="00643BB9" w:rsidRDefault="00643BB9" w:rsidP="00E169A0"/>
        </w:tc>
        <w:tc>
          <w:tcPr>
            <w:tcW w:w="6945" w:type="dxa"/>
            <w:vMerge/>
          </w:tcPr>
          <w:p w14:paraId="4B3A07BE" w14:textId="77777777" w:rsidR="00643BB9" w:rsidRDefault="00643BB9" w:rsidP="00E169A0"/>
        </w:tc>
      </w:tr>
    </w:tbl>
    <w:p w14:paraId="4EFD264D" w14:textId="77777777" w:rsidR="00643BB9" w:rsidRDefault="00643BB9" w:rsidP="006427E2"/>
    <w:p w14:paraId="20498580" w14:textId="32D62ABB" w:rsidR="00EC0A52" w:rsidRDefault="000070E6" w:rsidP="00EC0A52">
      <w:pPr>
        <w:pStyle w:val="Heading2"/>
      </w:pPr>
      <w:r>
        <w:t>Annex A</w:t>
      </w:r>
      <w:r w:rsidR="00E169A0">
        <w:t xml:space="preserve"> </w:t>
      </w:r>
      <w:r w:rsidR="00EC0A52">
        <w:t>– Summary of Future Farming Grants</w:t>
      </w:r>
    </w:p>
    <w:p w14:paraId="0FE0526C" w14:textId="77777777" w:rsidR="00EC0A52" w:rsidRDefault="00EC0A52" w:rsidP="008553E1">
      <w:pPr>
        <w:pStyle w:val="ListParagraph"/>
        <w:ind w:left="360"/>
      </w:pPr>
    </w:p>
    <w:p w14:paraId="6C310368" w14:textId="7927D87C" w:rsidR="008553E1" w:rsidRDefault="00EC0A52" w:rsidP="00EC0A52">
      <w:r w:rsidRPr="00EC0A52">
        <w:rPr>
          <w:noProof/>
        </w:rPr>
        <w:drawing>
          <wp:inline distT="0" distB="0" distL="0" distR="0" wp14:anchorId="08A90C47" wp14:editId="2F1A90A2">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23895"/>
                    </a:xfrm>
                    <a:prstGeom prst="rect">
                      <a:avLst/>
                    </a:prstGeom>
                  </pic:spPr>
                </pic:pic>
              </a:graphicData>
            </a:graphic>
          </wp:inline>
        </w:drawing>
      </w:r>
      <w:r w:rsidR="008553E1">
        <w:t xml:space="preserve"> </w:t>
      </w:r>
    </w:p>
    <w:sectPr w:rsidR="008553E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6945" w14:textId="77777777" w:rsidR="006820D1" w:rsidRDefault="006820D1" w:rsidP="006820D1">
      <w:pPr>
        <w:spacing w:after="0" w:line="240" w:lineRule="auto"/>
      </w:pPr>
      <w:r>
        <w:separator/>
      </w:r>
    </w:p>
  </w:endnote>
  <w:endnote w:type="continuationSeparator" w:id="0">
    <w:p w14:paraId="7AA7321B" w14:textId="77777777" w:rsidR="006820D1" w:rsidRDefault="006820D1" w:rsidP="0068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OpenDyslexic 3">
    <w:panose1 w:val="00000000000000000000"/>
    <w:charset w:val="00"/>
    <w:family w:val="auto"/>
    <w:pitch w:val="variable"/>
    <w:sig w:usb0="A00002FF" w:usb1="4000205A"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C90F" w14:textId="4866D8D8" w:rsidR="006820D1" w:rsidRPr="006820D1" w:rsidRDefault="006820D1">
    <w:pPr>
      <w:pStyle w:val="Footer"/>
      <w:rPr>
        <w:rFonts w:ascii="OpenDyslexic 3" w:hAnsi="OpenDyslexic 3"/>
        <w:color w:val="FF0000"/>
      </w:rPr>
    </w:pPr>
    <w:r>
      <w:rPr>
        <w:rFonts w:ascii="OpenDyslexic 3" w:hAnsi="OpenDyslexic 3"/>
        <w:color w:val="FF0000"/>
      </w:rPr>
      <w:t>All comments are subject to update by specialist divisions.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A099" w14:textId="77777777" w:rsidR="006820D1" w:rsidRDefault="006820D1" w:rsidP="006820D1">
      <w:pPr>
        <w:spacing w:after="0" w:line="240" w:lineRule="auto"/>
      </w:pPr>
      <w:r>
        <w:separator/>
      </w:r>
    </w:p>
  </w:footnote>
  <w:footnote w:type="continuationSeparator" w:id="0">
    <w:p w14:paraId="263B4CD8" w14:textId="77777777" w:rsidR="006820D1" w:rsidRDefault="006820D1" w:rsidP="00682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CE5"/>
    <w:multiLevelType w:val="multilevel"/>
    <w:tmpl w:val="797C1650"/>
    <w:lvl w:ilvl="0">
      <w:start w:val="3"/>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 w15:restartNumberingAfterBreak="0">
    <w:nsid w:val="051E08F5"/>
    <w:multiLevelType w:val="multilevel"/>
    <w:tmpl w:val="93EA251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0A25B0"/>
    <w:multiLevelType w:val="hybridMultilevel"/>
    <w:tmpl w:val="2BC6C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600599"/>
    <w:multiLevelType w:val="hybridMultilevel"/>
    <w:tmpl w:val="60FE7364"/>
    <w:lvl w:ilvl="0" w:tplc="8A3C9862">
      <w:start w:val="1"/>
      <w:numFmt w:val="decimal"/>
      <w:lvlText w:val="%1)"/>
      <w:lvlJc w:val="left"/>
      <w:pPr>
        <w:ind w:left="360" w:hanging="360"/>
      </w:pPr>
      <w:rPr>
        <w:rFonts w:cs="Arial" w:hint="default"/>
        <w:color w:val="00000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CF21D2"/>
    <w:multiLevelType w:val="multilevel"/>
    <w:tmpl w:val="622A6C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AB08F4"/>
    <w:multiLevelType w:val="multilevel"/>
    <w:tmpl w:val="4CCCBD2E"/>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9A086C"/>
    <w:multiLevelType w:val="hybridMultilevel"/>
    <w:tmpl w:val="81924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93AFA"/>
    <w:multiLevelType w:val="hybridMultilevel"/>
    <w:tmpl w:val="78A8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75B55"/>
    <w:multiLevelType w:val="hybridMultilevel"/>
    <w:tmpl w:val="1048F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D60ED"/>
    <w:multiLevelType w:val="multilevel"/>
    <w:tmpl w:val="7D465B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9376DB"/>
    <w:multiLevelType w:val="hybridMultilevel"/>
    <w:tmpl w:val="0C603AD2"/>
    <w:lvl w:ilvl="0" w:tplc="04743ED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D86CBC"/>
    <w:multiLevelType w:val="multilevel"/>
    <w:tmpl w:val="4CCCBD2E"/>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667D73"/>
    <w:multiLevelType w:val="hybridMultilevel"/>
    <w:tmpl w:val="E0A0F29A"/>
    <w:lvl w:ilvl="0" w:tplc="08090001">
      <w:start w:val="1"/>
      <w:numFmt w:val="bullet"/>
      <w:lvlText w:val=""/>
      <w:lvlJc w:val="left"/>
      <w:pPr>
        <w:ind w:left="720" w:hanging="360"/>
      </w:pPr>
      <w:rPr>
        <w:rFonts w:ascii="Symbol" w:hAnsi="Symbol" w:hint="default"/>
      </w:rPr>
    </w:lvl>
    <w:lvl w:ilvl="1" w:tplc="F67CBC2C">
      <w:start w:val="1"/>
      <w:numFmt w:val="bullet"/>
      <w:lvlText w:val="o"/>
      <w:lvlJc w:val="left"/>
      <w:pPr>
        <w:ind w:left="1440" w:hanging="360"/>
      </w:pPr>
      <w:rPr>
        <w:rFonts w:ascii="Courier New" w:hAnsi="Courier New" w:hint="default"/>
      </w:rPr>
    </w:lvl>
    <w:lvl w:ilvl="2" w:tplc="94760742">
      <w:start w:val="1"/>
      <w:numFmt w:val="bullet"/>
      <w:lvlText w:val=""/>
      <w:lvlJc w:val="left"/>
      <w:pPr>
        <w:ind w:left="2160" w:hanging="360"/>
      </w:pPr>
      <w:rPr>
        <w:rFonts w:ascii="Wingdings" w:hAnsi="Wingdings" w:hint="default"/>
      </w:rPr>
    </w:lvl>
    <w:lvl w:ilvl="3" w:tplc="CB842386">
      <w:start w:val="1"/>
      <w:numFmt w:val="bullet"/>
      <w:lvlText w:val=""/>
      <w:lvlJc w:val="left"/>
      <w:pPr>
        <w:ind w:left="2880" w:hanging="360"/>
      </w:pPr>
      <w:rPr>
        <w:rFonts w:ascii="Symbol" w:hAnsi="Symbol" w:hint="default"/>
      </w:rPr>
    </w:lvl>
    <w:lvl w:ilvl="4" w:tplc="0E1EF5A0">
      <w:start w:val="1"/>
      <w:numFmt w:val="bullet"/>
      <w:lvlText w:val="o"/>
      <w:lvlJc w:val="left"/>
      <w:pPr>
        <w:ind w:left="3600" w:hanging="360"/>
      </w:pPr>
      <w:rPr>
        <w:rFonts w:ascii="Courier New" w:hAnsi="Courier New" w:hint="default"/>
      </w:rPr>
    </w:lvl>
    <w:lvl w:ilvl="5" w:tplc="BBDEE39C">
      <w:start w:val="1"/>
      <w:numFmt w:val="bullet"/>
      <w:lvlText w:val=""/>
      <w:lvlJc w:val="left"/>
      <w:pPr>
        <w:ind w:left="4320" w:hanging="360"/>
      </w:pPr>
      <w:rPr>
        <w:rFonts w:ascii="Wingdings" w:hAnsi="Wingdings" w:hint="default"/>
      </w:rPr>
    </w:lvl>
    <w:lvl w:ilvl="6" w:tplc="8932ED36">
      <w:start w:val="1"/>
      <w:numFmt w:val="bullet"/>
      <w:lvlText w:val=""/>
      <w:lvlJc w:val="left"/>
      <w:pPr>
        <w:ind w:left="5040" w:hanging="360"/>
      </w:pPr>
      <w:rPr>
        <w:rFonts w:ascii="Symbol" w:hAnsi="Symbol" w:hint="default"/>
      </w:rPr>
    </w:lvl>
    <w:lvl w:ilvl="7" w:tplc="BB86BCDA">
      <w:start w:val="1"/>
      <w:numFmt w:val="bullet"/>
      <w:lvlText w:val="o"/>
      <w:lvlJc w:val="left"/>
      <w:pPr>
        <w:ind w:left="5760" w:hanging="360"/>
      </w:pPr>
      <w:rPr>
        <w:rFonts w:ascii="Courier New" w:hAnsi="Courier New" w:hint="default"/>
      </w:rPr>
    </w:lvl>
    <w:lvl w:ilvl="8" w:tplc="82821EEC">
      <w:start w:val="1"/>
      <w:numFmt w:val="bullet"/>
      <w:lvlText w:val=""/>
      <w:lvlJc w:val="left"/>
      <w:pPr>
        <w:ind w:left="6480" w:hanging="360"/>
      </w:pPr>
      <w:rPr>
        <w:rFonts w:ascii="Wingdings" w:hAnsi="Wingdings" w:hint="default"/>
      </w:rPr>
    </w:lvl>
  </w:abstractNum>
  <w:abstractNum w:abstractNumId="13" w15:restartNumberingAfterBreak="0">
    <w:nsid w:val="40F40F19"/>
    <w:multiLevelType w:val="hybridMultilevel"/>
    <w:tmpl w:val="BE54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A609E"/>
    <w:multiLevelType w:val="multilevel"/>
    <w:tmpl w:val="4CCCBD2E"/>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A46C4C"/>
    <w:multiLevelType w:val="multilevel"/>
    <w:tmpl w:val="F5E4D2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B362891"/>
    <w:multiLevelType w:val="multilevel"/>
    <w:tmpl w:val="7918EB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5176E96"/>
    <w:multiLevelType w:val="multilevel"/>
    <w:tmpl w:val="320431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5A2326C"/>
    <w:multiLevelType w:val="hybridMultilevel"/>
    <w:tmpl w:val="23E4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A7EC8"/>
    <w:multiLevelType w:val="hybridMultilevel"/>
    <w:tmpl w:val="156AC2B8"/>
    <w:lvl w:ilvl="0" w:tplc="7E3E6E64">
      <w:start w:val="1"/>
      <w:numFmt w:val="bullet"/>
      <w:lvlText w:val="•"/>
      <w:lvlJc w:val="left"/>
      <w:pPr>
        <w:tabs>
          <w:tab w:val="num" w:pos="720"/>
        </w:tabs>
        <w:ind w:left="720" w:hanging="360"/>
      </w:pPr>
      <w:rPr>
        <w:rFonts w:ascii="Arial" w:hAnsi="Arial" w:hint="default"/>
      </w:rPr>
    </w:lvl>
    <w:lvl w:ilvl="1" w:tplc="64F2EF68" w:tentative="1">
      <w:start w:val="1"/>
      <w:numFmt w:val="bullet"/>
      <w:lvlText w:val="•"/>
      <w:lvlJc w:val="left"/>
      <w:pPr>
        <w:tabs>
          <w:tab w:val="num" w:pos="1440"/>
        </w:tabs>
        <w:ind w:left="1440" w:hanging="360"/>
      </w:pPr>
      <w:rPr>
        <w:rFonts w:ascii="Arial" w:hAnsi="Arial" w:hint="default"/>
      </w:rPr>
    </w:lvl>
    <w:lvl w:ilvl="2" w:tplc="0C5A34DE" w:tentative="1">
      <w:start w:val="1"/>
      <w:numFmt w:val="bullet"/>
      <w:lvlText w:val="•"/>
      <w:lvlJc w:val="left"/>
      <w:pPr>
        <w:tabs>
          <w:tab w:val="num" w:pos="2160"/>
        </w:tabs>
        <w:ind w:left="2160" w:hanging="360"/>
      </w:pPr>
      <w:rPr>
        <w:rFonts w:ascii="Arial" w:hAnsi="Arial" w:hint="default"/>
      </w:rPr>
    </w:lvl>
    <w:lvl w:ilvl="3" w:tplc="AA504C74" w:tentative="1">
      <w:start w:val="1"/>
      <w:numFmt w:val="bullet"/>
      <w:lvlText w:val="•"/>
      <w:lvlJc w:val="left"/>
      <w:pPr>
        <w:tabs>
          <w:tab w:val="num" w:pos="2880"/>
        </w:tabs>
        <w:ind w:left="2880" w:hanging="360"/>
      </w:pPr>
      <w:rPr>
        <w:rFonts w:ascii="Arial" w:hAnsi="Arial" w:hint="default"/>
      </w:rPr>
    </w:lvl>
    <w:lvl w:ilvl="4" w:tplc="5692A54C" w:tentative="1">
      <w:start w:val="1"/>
      <w:numFmt w:val="bullet"/>
      <w:lvlText w:val="•"/>
      <w:lvlJc w:val="left"/>
      <w:pPr>
        <w:tabs>
          <w:tab w:val="num" w:pos="3600"/>
        </w:tabs>
        <w:ind w:left="3600" w:hanging="360"/>
      </w:pPr>
      <w:rPr>
        <w:rFonts w:ascii="Arial" w:hAnsi="Arial" w:hint="default"/>
      </w:rPr>
    </w:lvl>
    <w:lvl w:ilvl="5" w:tplc="E3CA5DA8" w:tentative="1">
      <w:start w:val="1"/>
      <w:numFmt w:val="bullet"/>
      <w:lvlText w:val="•"/>
      <w:lvlJc w:val="left"/>
      <w:pPr>
        <w:tabs>
          <w:tab w:val="num" w:pos="4320"/>
        </w:tabs>
        <w:ind w:left="4320" w:hanging="360"/>
      </w:pPr>
      <w:rPr>
        <w:rFonts w:ascii="Arial" w:hAnsi="Arial" w:hint="default"/>
      </w:rPr>
    </w:lvl>
    <w:lvl w:ilvl="6" w:tplc="54AA6D36" w:tentative="1">
      <w:start w:val="1"/>
      <w:numFmt w:val="bullet"/>
      <w:lvlText w:val="•"/>
      <w:lvlJc w:val="left"/>
      <w:pPr>
        <w:tabs>
          <w:tab w:val="num" w:pos="5040"/>
        </w:tabs>
        <w:ind w:left="5040" w:hanging="360"/>
      </w:pPr>
      <w:rPr>
        <w:rFonts w:ascii="Arial" w:hAnsi="Arial" w:hint="default"/>
      </w:rPr>
    </w:lvl>
    <w:lvl w:ilvl="7" w:tplc="1570BEE0" w:tentative="1">
      <w:start w:val="1"/>
      <w:numFmt w:val="bullet"/>
      <w:lvlText w:val="•"/>
      <w:lvlJc w:val="left"/>
      <w:pPr>
        <w:tabs>
          <w:tab w:val="num" w:pos="5760"/>
        </w:tabs>
        <w:ind w:left="5760" w:hanging="360"/>
      </w:pPr>
      <w:rPr>
        <w:rFonts w:ascii="Arial" w:hAnsi="Arial" w:hint="default"/>
      </w:rPr>
    </w:lvl>
    <w:lvl w:ilvl="8" w:tplc="173EF5F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B30807"/>
    <w:multiLevelType w:val="multilevel"/>
    <w:tmpl w:val="2916AC5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27A7619"/>
    <w:multiLevelType w:val="hybridMultilevel"/>
    <w:tmpl w:val="DEB6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5347D"/>
    <w:multiLevelType w:val="hybridMultilevel"/>
    <w:tmpl w:val="DC8E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B81624"/>
    <w:multiLevelType w:val="hybridMultilevel"/>
    <w:tmpl w:val="43B6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D7B"/>
    <w:multiLevelType w:val="hybridMultilevel"/>
    <w:tmpl w:val="60C6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2B618C"/>
    <w:multiLevelType w:val="hybridMultilevel"/>
    <w:tmpl w:val="E254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F5749"/>
    <w:multiLevelType w:val="hybridMultilevel"/>
    <w:tmpl w:val="FFFFFFFF"/>
    <w:lvl w:ilvl="0" w:tplc="B6FC8EC8">
      <w:start w:val="1"/>
      <w:numFmt w:val="bullet"/>
      <w:lvlText w:val="-"/>
      <w:lvlJc w:val="left"/>
      <w:pPr>
        <w:ind w:left="720" w:hanging="360"/>
      </w:pPr>
      <w:rPr>
        <w:rFonts w:ascii="Calibri" w:hAnsi="Calibri" w:hint="default"/>
      </w:rPr>
    </w:lvl>
    <w:lvl w:ilvl="1" w:tplc="F67CBC2C">
      <w:start w:val="1"/>
      <w:numFmt w:val="bullet"/>
      <w:lvlText w:val="o"/>
      <w:lvlJc w:val="left"/>
      <w:pPr>
        <w:ind w:left="1440" w:hanging="360"/>
      </w:pPr>
      <w:rPr>
        <w:rFonts w:ascii="Courier New" w:hAnsi="Courier New" w:hint="default"/>
      </w:rPr>
    </w:lvl>
    <w:lvl w:ilvl="2" w:tplc="94760742">
      <w:start w:val="1"/>
      <w:numFmt w:val="bullet"/>
      <w:lvlText w:val=""/>
      <w:lvlJc w:val="left"/>
      <w:pPr>
        <w:ind w:left="2160" w:hanging="360"/>
      </w:pPr>
      <w:rPr>
        <w:rFonts w:ascii="Wingdings" w:hAnsi="Wingdings" w:hint="default"/>
      </w:rPr>
    </w:lvl>
    <w:lvl w:ilvl="3" w:tplc="CB842386">
      <w:start w:val="1"/>
      <w:numFmt w:val="bullet"/>
      <w:lvlText w:val=""/>
      <w:lvlJc w:val="left"/>
      <w:pPr>
        <w:ind w:left="2880" w:hanging="360"/>
      </w:pPr>
      <w:rPr>
        <w:rFonts w:ascii="Symbol" w:hAnsi="Symbol" w:hint="default"/>
      </w:rPr>
    </w:lvl>
    <w:lvl w:ilvl="4" w:tplc="0E1EF5A0">
      <w:start w:val="1"/>
      <w:numFmt w:val="bullet"/>
      <w:lvlText w:val="o"/>
      <w:lvlJc w:val="left"/>
      <w:pPr>
        <w:ind w:left="3600" w:hanging="360"/>
      </w:pPr>
      <w:rPr>
        <w:rFonts w:ascii="Courier New" w:hAnsi="Courier New" w:hint="default"/>
      </w:rPr>
    </w:lvl>
    <w:lvl w:ilvl="5" w:tplc="BBDEE39C">
      <w:start w:val="1"/>
      <w:numFmt w:val="bullet"/>
      <w:lvlText w:val=""/>
      <w:lvlJc w:val="left"/>
      <w:pPr>
        <w:ind w:left="4320" w:hanging="360"/>
      </w:pPr>
      <w:rPr>
        <w:rFonts w:ascii="Wingdings" w:hAnsi="Wingdings" w:hint="default"/>
      </w:rPr>
    </w:lvl>
    <w:lvl w:ilvl="6" w:tplc="8932ED36">
      <w:start w:val="1"/>
      <w:numFmt w:val="bullet"/>
      <w:lvlText w:val=""/>
      <w:lvlJc w:val="left"/>
      <w:pPr>
        <w:ind w:left="5040" w:hanging="360"/>
      </w:pPr>
      <w:rPr>
        <w:rFonts w:ascii="Symbol" w:hAnsi="Symbol" w:hint="default"/>
      </w:rPr>
    </w:lvl>
    <w:lvl w:ilvl="7" w:tplc="BB86BCDA">
      <w:start w:val="1"/>
      <w:numFmt w:val="bullet"/>
      <w:lvlText w:val="o"/>
      <w:lvlJc w:val="left"/>
      <w:pPr>
        <w:ind w:left="5760" w:hanging="360"/>
      </w:pPr>
      <w:rPr>
        <w:rFonts w:ascii="Courier New" w:hAnsi="Courier New" w:hint="default"/>
      </w:rPr>
    </w:lvl>
    <w:lvl w:ilvl="8" w:tplc="82821EEC">
      <w:start w:val="1"/>
      <w:numFmt w:val="bullet"/>
      <w:lvlText w:val=""/>
      <w:lvlJc w:val="left"/>
      <w:pPr>
        <w:ind w:left="6480" w:hanging="360"/>
      </w:pPr>
      <w:rPr>
        <w:rFonts w:ascii="Wingdings" w:hAnsi="Wingdings" w:hint="default"/>
      </w:rPr>
    </w:lvl>
  </w:abstractNum>
  <w:abstractNum w:abstractNumId="27" w15:restartNumberingAfterBreak="0">
    <w:nsid w:val="7FA400DD"/>
    <w:multiLevelType w:val="multilevel"/>
    <w:tmpl w:val="320431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10"/>
  </w:num>
  <w:num w:numId="3">
    <w:abstractNumId w:val="19"/>
  </w:num>
  <w:num w:numId="4">
    <w:abstractNumId w:val="3"/>
  </w:num>
  <w:num w:numId="5">
    <w:abstractNumId w:val="17"/>
  </w:num>
  <w:num w:numId="6">
    <w:abstractNumId w:val="18"/>
  </w:num>
  <w:num w:numId="7">
    <w:abstractNumId w:val="4"/>
  </w:num>
  <w:num w:numId="8">
    <w:abstractNumId w:val="15"/>
  </w:num>
  <w:num w:numId="9">
    <w:abstractNumId w:val="9"/>
  </w:num>
  <w:num w:numId="10">
    <w:abstractNumId w:val="6"/>
  </w:num>
  <w:num w:numId="11">
    <w:abstractNumId w:val="13"/>
  </w:num>
  <w:num w:numId="12">
    <w:abstractNumId w:val="24"/>
  </w:num>
  <w:num w:numId="13">
    <w:abstractNumId w:val="12"/>
  </w:num>
  <w:num w:numId="14">
    <w:abstractNumId w:val="27"/>
  </w:num>
  <w:num w:numId="15">
    <w:abstractNumId w:val="1"/>
  </w:num>
  <w:num w:numId="16">
    <w:abstractNumId w:val="20"/>
  </w:num>
  <w:num w:numId="17">
    <w:abstractNumId w:val="11"/>
  </w:num>
  <w:num w:numId="18">
    <w:abstractNumId w:val="5"/>
  </w:num>
  <w:num w:numId="19">
    <w:abstractNumId w:val="14"/>
  </w:num>
  <w:num w:numId="20">
    <w:abstractNumId w:val="0"/>
  </w:num>
  <w:num w:numId="21">
    <w:abstractNumId w:val="25"/>
  </w:num>
  <w:num w:numId="22">
    <w:abstractNumId w:val="16"/>
  </w:num>
  <w:num w:numId="23">
    <w:abstractNumId w:val="2"/>
  </w:num>
  <w:num w:numId="24">
    <w:abstractNumId w:val="8"/>
  </w:num>
  <w:num w:numId="25">
    <w:abstractNumId w:val="21"/>
  </w:num>
  <w:num w:numId="26">
    <w:abstractNumId w:val="7"/>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E3"/>
    <w:rsid w:val="000070E6"/>
    <w:rsid w:val="00037298"/>
    <w:rsid w:val="00041C77"/>
    <w:rsid w:val="0006142C"/>
    <w:rsid w:val="00083B49"/>
    <w:rsid w:val="000C4F0B"/>
    <w:rsid w:val="000E0001"/>
    <w:rsid w:val="00121143"/>
    <w:rsid w:val="00135207"/>
    <w:rsid w:val="001369F0"/>
    <w:rsid w:val="00180A93"/>
    <w:rsid w:val="00180E1C"/>
    <w:rsid w:val="001A372C"/>
    <w:rsid w:val="001C7DC1"/>
    <w:rsid w:val="001D5CC2"/>
    <w:rsid w:val="001E48E6"/>
    <w:rsid w:val="001F7F9F"/>
    <w:rsid w:val="00217693"/>
    <w:rsid w:val="00240168"/>
    <w:rsid w:val="002402FF"/>
    <w:rsid w:val="00242D27"/>
    <w:rsid w:val="00246C48"/>
    <w:rsid w:val="002508D4"/>
    <w:rsid w:val="00253695"/>
    <w:rsid w:val="00255847"/>
    <w:rsid w:val="00255D18"/>
    <w:rsid w:val="00266690"/>
    <w:rsid w:val="002A58FB"/>
    <w:rsid w:val="002B1BEA"/>
    <w:rsid w:val="002B5A89"/>
    <w:rsid w:val="002F4907"/>
    <w:rsid w:val="002F4CCA"/>
    <w:rsid w:val="00300988"/>
    <w:rsid w:val="003065E4"/>
    <w:rsid w:val="0031550E"/>
    <w:rsid w:val="003343E3"/>
    <w:rsid w:val="00335FE1"/>
    <w:rsid w:val="00337680"/>
    <w:rsid w:val="00377E3C"/>
    <w:rsid w:val="00380DF9"/>
    <w:rsid w:val="003A01CA"/>
    <w:rsid w:val="003A5600"/>
    <w:rsid w:val="003B1D80"/>
    <w:rsid w:val="003C3A7A"/>
    <w:rsid w:val="003DCEC4"/>
    <w:rsid w:val="003F2BEF"/>
    <w:rsid w:val="00420E2A"/>
    <w:rsid w:val="004366F3"/>
    <w:rsid w:val="00482323"/>
    <w:rsid w:val="004B10D9"/>
    <w:rsid w:val="004B6EE2"/>
    <w:rsid w:val="004D7DA1"/>
    <w:rsid w:val="004E684E"/>
    <w:rsid w:val="004F53EC"/>
    <w:rsid w:val="0050065C"/>
    <w:rsid w:val="00510555"/>
    <w:rsid w:val="00545E6C"/>
    <w:rsid w:val="0057668D"/>
    <w:rsid w:val="00597368"/>
    <w:rsid w:val="005B2E51"/>
    <w:rsid w:val="005C18F6"/>
    <w:rsid w:val="005C1A3B"/>
    <w:rsid w:val="005C49E3"/>
    <w:rsid w:val="005D3E84"/>
    <w:rsid w:val="005E76D7"/>
    <w:rsid w:val="0062531A"/>
    <w:rsid w:val="00641E86"/>
    <w:rsid w:val="006427E2"/>
    <w:rsid w:val="00643BB9"/>
    <w:rsid w:val="00650FDD"/>
    <w:rsid w:val="00654EAE"/>
    <w:rsid w:val="00655ABB"/>
    <w:rsid w:val="00674BD8"/>
    <w:rsid w:val="006820D1"/>
    <w:rsid w:val="00695B3B"/>
    <w:rsid w:val="00712709"/>
    <w:rsid w:val="007354F8"/>
    <w:rsid w:val="0075117C"/>
    <w:rsid w:val="00751595"/>
    <w:rsid w:val="007619D2"/>
    <w:rsid w:val="007710CD"/>
    <w:rsid w:val="007777FF"/>
    <w:rsid w:val="007A79A5"/>
    <w:rsid w:val="007F568C"/>
    <w:rsid w:val="008225AC"/>
    <w:rsid w:val="00822D64"/>
    <w:rsid w:val="00832A6E"/>
    <w:rsid w:val="0083527D"/>
    <w:rsid w:val="008553E1"/>
    <w:rsid w:val="00870E0B"/>
    <w:rsid w:val="0088645B"/>
    <w:rsid w:val="008B71FE"/>
    <w:rsid w:val="008D3748"/>
    <w:rsid w:val="008E32F1"/>
    <w:rsid w:val="00911549"/>
    <w:rsid w:val="00970D09"/>
    <w:rsid w:val="00991D3C"/>
    <w:rsid w:val="009B482A"/>
    <w:rsid w:val="009D604D"/>
    <w:rsid w:val="009E0CA4"/>
    <w:rsid w:val="009E4F18"/>
    <w:rsid w:val="009F7FD9"/>
    <w:rsid w:val="00A439AC"/>
    <w:rsid w:val="00A43CA7"/>
    <w:rsid w:val="00A70A37"/>
    <w:rsid w:val="00AD39EC"/>
    <w:rsid w:val="00AE1CF2"/>
    <w:rsid w:val="00AF36C7"/>
    <w:rsid w:val="00AF4873"/>
    <w:rsid w:val="00B069A3"/>
    <w:rsid w:val="00B37979"/>
    <w:rsid w:val="00B606D3"/>
    <w:rsid w:val="00B70B2C"/>
    <w:rsid w:val="00B73F9D"/>
    <w:rsid w:val="00BB0973"/>
    <w:rsid w:val="00BE0B6E"/>
    <w:rsid w:val="00BE27AA"/>
    <w:rsid w:val="00BF28CA"/>
    <w:rsid w:val="00BF4183"/>
    <w:rsid w:val="00C01F85"/>
    <w:rsid w:val="00C023D3"/>
    <w:rsid w:val="00C104E8"/>
    <w:rsid w:val="00C3731C"/>
    <w:rsid w:val="00C77A48"/>
    <w:rsid w:val="00C80D09"/>
    <w:rsid w:val="00C829AD"/>
    <w:rsid w:val="00CA524C"/>
    <w:rsid w:val="00CC11CC"/>
    <w:rsid w:val="00CC1C4D"/>
    <w:rsid w:val="00CD3A90"/>
    <w:rsid w:val="00CD473B"/>
    <w:rsid w:val="00D14BCE"/>
    <w:rsid w:val="00D56638"/>
    <w:rsid w:val="00D86169"/>
    <w:rsid w:val="00D90271"/>
    <w:rsid w:val="00D94708"/>
    <w:rsid w:val="00E169A0"/>
    <w:rsid w:val="00E22682"/>
    <w:rsid w:val="00E23E74"/>
    <w:rsid w:val="00E26646"/>
    <w:rsid w:val="00E726EA"/>
    <w:rsid w:val="00E75E36"/>
    <w:rsid w:val="00E767EA"/>
    <w:rsid w:val="00EB5C7C"/>
    <w:rsid w:val="00EC0A52"/>
    <w:rsid w:val="00ED1AF4"/>
    <w:rsid w:val="00F01D61"/>
    <w:rsid w:val="00F16F6B"/>
    <w:rsid w:val="00F20396"/>
    <w:rsid w:val="00F4369C"/>
    <w:rsid w:val="00F57428"/>
    <w:rsid w:val="00F73FAF"/>
    <w:rsid w:val="00F75050"/>
    <w:rsid w:val="00F9470E"/>
    <w:rsid w:val="00F9FC4C"/>
    <w:rsid w:val="00FA7C24"/>
    <w:rsid w:val="00FE5189"/>
    <w:rsid w:val="00FF737B"/>
    <w:rsid w:val="03A7593C"/>
    <w:rsid w:val="05794D0A"/>
    <w:rsid w:val="05DCFC8B"/>
    <w:rsid w:val="06E066BE"/>
    <w:rsid w:val="070F2AA8"/>
    <w:rsid w:val="0724C635"/>
    <w:rsid w:val="07255DAD"/>
    <w:rsid w:val="0A16D890"/>
    <w:rsid w:val="0AD54BD4"/>
    <w:rsid w:val="0BBDC10C"/>
    <w:rsid w:val="0BF0AF74"/>
    <w:rsid w:val="0D8626E1"/>
    <w:rsid w:val="0F905EE3"/>
    <w:rsid w:val="11C002E6"/>
    <w:rsid w:val="1293DEE6"/>
    <w:rsid w:val="1656EA46"/>
    <w:rsid w:val="168BEC25"/>
    <w:rsid w:val="1763B001"/>
    <w:rsid w:val="18F4A81A"/>
    <w:rsid w:val="1D2E841F"/>
    <w:rsid w:val="1ECF3F1F"/>
    <w:rsid w:val="204F8D35"/>
    <w:rsid w:val="220BBE15"/>
    <w:rsid w:val="238FE4CB"/>
    <w:rsid w:val="23CF2FE7"/>
    <w:rsid w:val="2A7773B4"/>
    <w:rsid w:val="2C50B320"/>
    <w:rsid w:val="2C95AA0F"/>
    <w:rsid w:val="2CEFA513"/>
    <w:rsid w:val="2E0F9B3F"/>
    <w:rsid w:val="2F31AC20"/>
    <w:rsid w:val="2F533704"/>
    <w:rsid w:val="30CC85E3"/>
    <w:rsid w:val="3348446F"/>
    <w:rsid w:val="383911F2"/>
    <w:rsid w:val="39520815"/>
    <w:rsid w:val="3C2F0156"/>
    <w:rsid w:val="3F38D07C"/>
    <w:rsid w:val="3FB1E950"/>
    <w:rsid w:val="41654D51"/>
    <w:rsid w:val="417D63EC"/>
    <w:rsid w:val="425A710A"/>
    <w:rsid w:val="4372AC81"/>
    <w:rsid w:val="43DE573E"/>
    <w:rsid w:val="44D30710"/>
    <w:rsid w:val="46627BE5"/>
    <w:rsid w:val="49D40D2D"/>
    <w:rsid w:val="4A63A5FC"/>
    <w:rsid w:val="4F5E69B0"/>
    <w:rsid w:val="4F9139AF"/>
    <w:rsid w:val="5714CD0B"/>
    <w:rsid w:val="5941735C"/>
    <w:rsid w:val="5CEBB8BC"/>
    <w:rsid w:val="5E13CE44"/>
    <w:rsid w:val="60E09DD2"/>
    <w:rsid w:val="6309BFF3"/>
    <w:rsid w:val="63D347A5"/>
    <w:rsid w:val="66C4C288"/>
    <w:rsid w:val="66DFF420"/>
    <w:rsid w:val="670C557F"/>
    <w:rsid w:val="67272E5F"/>
    <w:rsid w:val="6A3410D9"/>
    <w:rsid w:val="6BB78248"/>
    <w:rsid w:val="6E6DECDE"/>
    <w:rsid w:val="72F576A6"/>
    <w:rsid w:val="738182AD"/>
    <w:rsid w:val="73B5658E"/>
    <w:rsid w:val="740049DD"/>
    <w:rsid w:val="740D1AA5"/>
    <w:rsid w:val="7544B73C"/>
    <w:rsid w:val="75C5E1A3"/>
    <w:rsid w:val="777C68F6"/>
    <w:rsid w:val="797BEEA7"/>
    <w:rsid w:val="7DDA0A01"/>
    <w:rsid w:val="7F416110"/>
    <w:rsid w:val="7F9B5F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6276"/>
  <w15:chartTrackingRefBased/>
  <w15:docId w15:val="{B1B1248B-7D5A-4F09-92FB-7083AADB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0A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69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E3"/>
    <w:pPr>
      <w:spacing w:after="0" w:line="240" w:lineRule="auto"/>
      <w:ind w:left="720"/>
    </w:pPr>
    <w:rPr>
      <w:rFonts w:ascii="Calibri" w:hAnsi="Calibri" w:cs="Calibri"/>
      <w:lang w:eastAsia="en-GB"/>
    </w:rPr>
  </w:style>
  <w:style w:type="character" w:customStyle="1" w:styleId="normaltextrun">
    <w:name w:val="normaltextrun"/>
    <w:basedOn w:val="DefaultParagraphFont"/>
    <w:rsid w:val="003343E3"/>
  </w:style>
  <w:style w:type="character" w:customStyle="1" w:styleId="eop">
    <w:name w:val="eop"/>
    <w:basedOn w:val="DefaultParagraphFont"/>
    <w:rsid w:val="00C77A48"/>
  </w:style>
  <w:style w:type="character" w:styleId="CommentReference">
    <w:name w:val="annotation reference"/>
    <w:basedOn w:val="DefaultParagraphFont"/>
    <w:uiPriority w:val="99"/>
    <w:semiHidden/>
    <w:unhideWhenUsed/>
    <w:rsid w:val="00240168"/>
    <w:rPr>
      <w:sz w:val="16"/>
      <w:szCs w:val="16"/>
    </w:rPr>
  </w:style>
  <w:style w:type="paragraph" w:styleId="CommentText">
    <w:name w:val="annotation text"/>
    <w:basedOn w:val="Normal"/>
    <w:link w:val="CommentTextChar"/>
    <w:uiPriority w:val="99"/>
    <w:semiHidden/>
    <w:unhideWhenUsed/>
    <w:rsid w:val="00240168"/>
    <w:pPr>
      <w:spacing w:before="240" w:after="12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240168"/>
    <w:rPr>
      <w:rFonts w:ascii="Arial" w:eastAsia="Calibri" w:hAnsi="Arial" w:cs="Times New Roman"/>
      <w:sz w:val="20"/>
      <w:szCs w:val="20"/>
    </w:rPr>
  </w:style>
  <w:style w:type="paragraph" w:styleId="NoSpacing">
    <w:name w:val="No Spacing"/>
    <w:uiPriority w:val="1"/>
    <w:qFormat/>
    <w:rsid w:val="00D56638"/>
    <w:pPr>
      <w:spacing w:after="0" w:line="240" w:lineRule="auto"/>
    </w:pPr>
  </w:style>
  <w:style w:type="paragraph" w:customStyle="1" w:styleId="paragraph">
    <w:name w:val="paragraph"/>
    <w:basedOn w:val="Normal"/>
    <w:rsid w:val="001369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C0A52"/>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EC0A5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0A5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EC0A5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C0A52"/>
    <w:rPr>
      <w:color w:val="0563C1" w:themeColor="hyperlink"/>
      <w:u w:val="single"/>
    </w:rPr>
  </w:style>
  <w:style w:type="character" w:styleId="UnresolvedMention">
    <w:name w:val="Unresolved Mention"/>
    <w:basedOn w:val="DefaultParagraphFont"/>
    <w:uiPriority w:val="99"/>
    <w:semiHidden/>
    <w:unhideWhenUsed/>
    <w:rsid w:val="00EC0A52"/>
    <w:rPr>
      <w:color w:val="605E5C"/>
      <w:shd w:val="clear" w:color="auto" w:fill="E1DFDD"/>
    </w:rPr>
  </w:style>
  <w:style w:type="character" w:customStyle="1" w:styleId="Heading3Char">
    <w:name w:val="Heading 3 Char"/>
    <w:basedOn w:val="DefaultParagraphFont"/>
    <w:link w:val="Heading3"/>
    <w:uiPriority w:val="9"/>
    <w:rsid w:val="00B069A3"/>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991D3C"/>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1D3C"/>
    <w:rPr>
      <w:rFonts w:ascii="Arial" w:eastAsia="Calibri" w:hAnsi="Arial" w:cs="Times New Roman"/>
      <w:b/>
      <w:bCs/>
      <w:sz w:val="20"/>
      <w:szCs w:val="20"/>
    </w:rPr>
  </w:style>
  <w:style w:type="table" w:styleId="TableGrid">
    <w:name w:val="Table Grid"/>
    <w:basedOn w:val="TableNormal"/>
    <w:uiPriority w:val="39"/>
    <w:rsid w:val="0043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6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0D1"/>
  </w:style>
  <w:style w:type="paragraph" w:styleId="Footer">
    <w:name w:val="footer"/>
    <w:basedOn w:val="Normal"/>
    <w:link w:val="FooterChar"/>
    <w:uiPriority w:val="99"/>
    <w:unhideWhenUsed/>
    <w:rsid w:val="0068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3139">
      <w:bodyDiv w:val="1"/>
      <w:marLeft w:val="0"/>
      <w:marRight w:val="0"/>
      <w:marTop w:val="0"/>
      <w:marBottom w:val="0"/>
      <w:divBdr>
        <w:top w:val="none" w:sz="0" w:space="0" w:color="auto"/>
        <w:left w:val="none" w:sz="0" w:space="0" w:color="auto"/>
        <w:bottom w:val="none" w:sz="0" w:space="0" w:color="auto"/>
        <w:right w:val="none" w:sz="0" w:space="0" w:color="auto"/>
      </w:divBdr>
    </w:div>
    <w:div w:id="626814516">
      <w:bodyDiv w:val="1"/>
      <w:marLeft w:val="0"/>
      <w:marRight w:val="0"/>
      <w:marTop w:val="0"/>
      <w:marBottom w:val="0"/>
      <w:divBdr>
        <w:top w:val="none" w:sz="0" w:space="0" w:color="auto"/>
        <w:left w:val="none" w:sz="0" w:space="0" w:color="auto"/>
        <w:bottom w:val="none" w:sz="0" w:space="0" w:color="auto"/>
        <w:right w:val="none" w:sz="0" w:space="0" w:color="auto"/>
      </w:divBdr>
    </w:div>
    <w:div w:id="857621132">
      <w:bodyDiv w:val="1"/>
      <w:marLeft w:val="0"/>
      <w:marRight w:val="0"/>
      <w:marTop w:val="0"/>
      <w:marBottom w:val="0"/>
      <w:divBdr>
        <w:top w:val="none" w:sz="0" w:space="0" w:color="auto"/>
        <w:left w:val="none" w:sz="0" w:space="0" w:color="auto"/>
        <w:bottom w:val="none" w:sz="0" w:space="0" w:color="auto"/>
        <w:right w:val="none" w:sz="0" w:space="0" w:color="auto"/>
      </w:divBdr>
      <w:divsChild>
        <w:div w:id="48117401">
          <w:marLeft w:val="446"/>
          <w:marRight w:val="0"/>
          <w:marTop w:val="200"/>
          <w:marBottom w:val="0"/>
          <w:divBdr>
            <w:top w:val="none" w:sz="0" w:space="0" w:color="auto"/>
            <w:left w:val="none" w:sz="0" w:space="0" w:color="auto"/>
            <w:bottom w:val="none" w:sz="0" w:space="0" w:color="auto"/>
            <w:right w:val="none" w:sz="0" w:space="0" w:color="auto"/>
          </w:divBdr>
        </w:div>
        <w:div w:id="641498339">
          <w:marLeft w:val="446"/>
          <w:marRight w:val="0"/>
          <w:marTop w:val="200"/>
          <w:marBottom w:val="0"/>
          <w:divBdr>
            <w:top w:val="none" w:sz="0" w:space="0" w:color="auto"/>
            <w:left w:val="none" w:sz="0" w:space="0" w:color="auto"/>
            <w:bottom w:val="none" w:sz="0" w:space="0" w:color="auto"/>
            <w:right w:val="none" w:sz="0" w:space="0" w:color="auto"/>
          </w:divBdr>
        </w:div>
        <w:div w:id="970983849">
          <w:marLeft w:val="446"/>
          <w:marRight w:val="0"/>
          <w:marTop w:val="200"/>
          <w:marBottom w:val="0"/>
          <w:divBdr>
            <w:top w:val="none" w:sz="0" w:space="0" w:color="auto"/>
            <w:left w:val="none" w:sz="0" w:space="0" w:color="auto"/>
            <w:bottom w:val="none" w:sz="0" w:space="0" w:color="auto"/>
            <w:right w:val="none" w:sz="0" w:space="0" w:color="auto"/>
          </w:divBdr>
        </w:div>
        <w:div w:id="1477378704">
          <w:marLeft w:val="446"/>
          <w:marRight w:val="0"/>
          <w:marTop w:val="200"/>
          <w:marBottom w:val="0"/>
          <w:divBdr>
            <w:top w:val="none" w:sz="0" w:space="0" w:color="auto"/>
            <w:left w:val="none" w:sz="0" w:space="0" w:color="auto"/>
            <w:bottom w:val="none" w:sz="0" w:space="0" w:color="auto"/>
            <w:right w:val="none" w:sz="0" w:space="0" w:color="auto"/>
          </w:divBdr>
        </w:div>
        <w:div w:id="1797794458">
          <w:marLeft w:val="446"/>
          <w:marRight w:val="0"/>
          <w:marTop w:val="200"/>
          <w:marBottom w:val="0"/>
          <w:divBdr>
            <w:top w:val="none" w:sz="0" w:space="0" w:color="auto"/>
            <w:left w:val="none" w:sz="0" w:space="0" w:color="auto"/>
            <w:bottom w:val="none" w:sz="0" w:space="0" w:color="auto"/>
            <w:right w:val="none" w:sz="0" w:space="0" w:color="auto"/>
          </w:divBdr>
        </w:div>
      </w:divsChild>
    </w:div>
    <w:div w:id="1388257254">
      <w:bodyDiv w:val="1"/>
      <w:marLeft w:val="0"/>
      <w:marRight w:val="0"/>
      <w:marTop w:val="0"/>
      <w:marBottom w:val="0"/>
      <w:divBdr>
        <w:top w:val="none" w:sz="0" w:space="0" w:color="auto"/>
        <w:left w:val="none" w:sz="0" w:space="0" w:color="auto"/>
        <w:bottom w:val="none" w:sz="0" w:space="0" w:color="auto"/>
        <w:right w:val="none" w:sz="0" w:space="0" w:color="auto"/>
      </w:divBdr>
      <w:divsChild>
        <w:div w:id="956570314">
          <w:marLeft w:val="446"/>
          <w:marRight w:val="0"/>
          <w:marTop w:val="200"/>
          <w:marBottom w:val="0"/>
          <w:divBdr>
            <w:top w:val="none" w:sz="0" w:space="0" w:color="auto"/>
            <w:left w:val="none" w:sz="0" w:space="0" w:color="auto"/>
            <w:bottom w:val="none" w:sz="0" w:space="0" w:color="auto"/>
            <w:right w:val="none" w:sz="0" w:space="0" w:color="auto"/>
          </w:divBdr>
        </w:div>
      </w:divsChild>
    </w:div>
    <w:div w:id="1961569081">
      <w:bodyDiv w:val="1"/>
      <w:marLeft w:val="0"/>
      <w:marRight w:val="0"/>
      <w:marTop w:val="0"/>
      <w:marBottom w:val="0"/>
      <w:divBdr>
        <w:top w:val="none" w:sz="0" w:space="0" w:color="auto"/>
        <w:left w:val="none" w:sz="0" w:space="0" w:color="auto"/>
        <w:bottom w:val="none" w:sz="0" w:space="0" w:color="auto"/>
        <w:right w:val="none" w:sz="0" w:space="0" w:color="auto"/>
      </w:divBdr>
    </w:div>
    <w:div w:id="2028628895">
      <w:bodyDiv w:val="1"/>
      <w:marLeft w:val="0"/>
      <w:marRight w:val="0"/>
      <w:marTop w:val="0"/>
      <w:marBottom w:val="0"/>
      <w:divBdr>
        <w:top w:val="none" w:sz="0" w:space="0" w:color="auto"/>
        <w:left w:val="none" w:sz="0" w:space="0" w:color="auto"/>
        <w:bottom w:val="none" w:sz="0" w:space="0" w:color="auto"/>
        <w:right w:val="none" w:sz="0" w:space="0" w:color="auto"/>
      </w:divBdr>
    </w:div>
    <w:div w:id="20966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54283/agricultural-transition-pla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farming-investment-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fra.sharepoint.com/:p:/r/sites/Community2148/PbRGrants%20Task%20%20Finish%20Group/Papers/21-12-01%20-%20Grants%20-%20Integrating%20with%20FF%20Grants.pptx?d=w4c34d9d235704975acdf0a344fcf6bb0&amp;csf=1&amp;web=1&amp;e=WVc5T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awp</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11</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Transforming Farm Animal Health and Welfare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8F88C174C4502A41AF02DCD8E8B9F082" ma:contentTypeVersion="9" ma:contentTypeDescription="Create a new document." ma:contentTypeScope="" ma:versionID="07542f40b11538c12ee69612a5dee04a">
  <xsd:schema xmlns:xsd="http://www.w3.org/2001/XMLSchema" xmlns:xs="http://www.w3.org/2001/XMLSchema" xmlns:p="http://schemas.microsoft.com/office/2006/metadata/properties" xmlns:ns2="662745e8-e224-48e8-a2e3-254862b8c2f5" xmlns:ns3="2273fe58-e80f-4ee5-b8f8-9416c6508efc" targetNamespace="http://schemas.microsoft.com/office/2006/metadata/properties" ma:root="true" ma:fieldsID="0cf646314d30b8ecb5c02d5edc7a4618" ns2:_="" ns3:_="">
    <xsd:import namespace="662745e8-e224-48e8-a2e3-254862b8c2f5"/>
    <xsd:import namespace="2273fe58-e80f-4ee5-b8f8-9416c6508ef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deffdf3-e571-4a48-8aa1-621bb4b1a618}" ma:internalName="TaxCatchAll" ma:showField="CatchAllData" ma:web="e0ba8218-b496-4319-8dea-17e6dd143c0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deffdf3-e571-4a48-8aa1-621bb4b1a618}" ma:internalName="TaxCatchAllLabel" ma:readOnly="true" ma:showField="CatchAllDataLabel" ma:web="e0ba8218-b496-4319-8dea-17e6dd143c0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Community|144ac7d7-0b9a-42f9-9385-2935294b6de3"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Animal Health and Welfare Pathway CoDesign" ma:internalName="Team">
      <xsd:simpleType>
        <xsd:restriction base="dms:Text"/>
      </xsd:simpleType>
    </xsd:element>
    <xsd:element name="Topic" ma:index="20" nillable="true" ma:displayName="Topic" ma:default="PbR/Grants Task &amp; Finish Group"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73fe58-e80f-4ee5-b8f8-9416c6508efc"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1117845-93f6-4da3-abaa-fcb4fa669c78" ContentTypeId="0x010100A5BF1C78D9F64B679A5EBDE1C6598EBC01" PreviousValue="false" LastSyncTimeStamp="2018-07-26T16:29:50.71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4BB0C-31A2-4FA1-9916-EECC9DAC4F45}">
  <ds:schemaRefs>
    <ds:schemaRef ds:uri="http://www.w3.org/XML/1998/namespace"/>
    <ds:schemaRef ds:uri="http://schemas.openxmlformats.org/package/2006/metadata/core-properties"/>
    <ds:schemaRef ds:uri="5e04e4db-97f1-446e-a8e0-072069281d09"/>
    <ds:schemaRef ds:uri="http://schemas.microsoft.com/office/infopath/2007/PartnerControls"/>
    <ds:schemaRef ds:uri="http://purl.org/dc/terms/"/>
    <ds:schemaRef ds:uri="http://purl.org/dc/dcmitype/"/>
    <ds:schemaRef ds:uri="cd0206d2-68f5-4fdb-b95d-4803facb5434"/>
    <ds:schemaRef ds:uri="http://schemas.microsoft.com/office/2006/documentManagement/types"/>
    <ds:schemaRef ds:uri="662745e8-e224-48e8-a2e3-254862b8c2f5"/>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CD232DA-ED53-4842-A95D-1E287EC25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2273fe58-e80f-4ee5-b8f8-9416c6508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3942B-E7F2-4818-A977-E680C809FA7C}">
  <ds:schemaRefs>
    <ds:schemaRef ds:uri="Microsoft.SharePoint.Taxonomy.ContentTypeSync"/>
  </ds:schemaRefs>
</ds:datastoreItem>
</file>

<file path=customXml/itemProps4.xml><?xml version="1.0" encoding="utf-8"?>
<ds:datastoreItem xmlns:ds="http://schemas.openxmlformats.org/officeDocument/2006/customXml" ds:itemID="{5E7BC2BB-175C-4DCB-AC95-D5774748BC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4280</Words>
  <Characters>24399</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Manpreet</dc:creator>
  <cp:keywords/>
  <dc:description/>
  <cp:lastModifiedBy>SVP (BVA)</cp:lastModifiedBy>
  <cp:revision>2</cp:revision>
  <dcterms:created xsi:type="dcterms:W3CDTF">2022-01-04T11:24:00Z</dcterms:created>
  <dcterms:modified xsi:type="dcterms:W3CDTF">2022-01-04T11:24:00Z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0x010100A5BF1C78D9F64B679A5EBDE1C6598EBC01008F88C174C4502A41AF02DCD8E8B9F082</vt:lpwstr>
  </property>
  <property fmtid="{D5CDD505-2E9C-101B-9397-08002B2CF9AE}" pid="3" name="InformationType">
    <vt:lpwstr/>
  </property>
  <property fmtid="{D5CDD505-2E9C-101B-9397-08002B2CF9AE}" pid="4" name="HOSiteType">
    <vt:lpwstr>11;#Team|ff0485df-0575-416f-802f-e999165821b7</vt:lpwstr>
  </property>
  <property fmtid="{D5CDD505-2E9C-101B-9397-08002B2CF9AE}" pid="5" name="Distribution">
    <vt:lpwstr>9;#Internal Defra Group|0867f7b3-e76e-40ca-bb1f-5ba341a49230</vt:lpwstr>
  </property>
  <property fmtid="{D5CDD505-2E9C-101B-9397-08002B2CF9AE}" pid="6" name="OrganisationalUnit">
    <vt:lpwstr>8;#Core Defra|026223dd-2e56-4615-868d-7c5bfd566810</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ies>
</file>